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80" w:rsidRDefault="002B4080" w:rsidP="006342A3">
      <w:pPr>
        <w:pStyle w:val="Body"/>
        <w:ind w:left="90" w:right="1350"/>
        <w:rPr>
          <w:rFonts w:ascii="Arial" w:hAnsi="Arial" w:cs="Arial"/>
          <w:color w:val="auto"/>
          <w:sz w:val="24"/>
          <w:szCs w:val="24"/>
        </w:rPr>
      </w:pPr>
    </w:p>
    <w:p w:rsidR="003B7035" w:rsidRPr="003B7035" w:rsidRDefault="002B4080" w:rsidP="006342A3">
      <w:pPr>
        <w:pStyle w:val="Body"/>
        <w:ind w:left="90" w:right="1350"/>
        <w:rPr>
          <w:rFonts w:ascii="Arial" w:hAnsi="Arial" w:cs="Arial"/>
          <w:color w:val="auto"/>
          <w:sz w:val="24"/>
          <w:szCs w:val="24"/>
        </w:rPr>
      </w:pPr>
      <w:r>
        <w:rPr>
          <w:rFonts w:ascii="Arial" w:hAnsi="Arial" w:cs="Arial"/>
          <w:color w:val="auto"/>
          <w:sz w:val="24"/>
          <w:szCs w:val="24"/>
        </w:rPr>
        <w:t>September 5</w:t>
      </w:r>
      <w:r w:rsidR="003B7035" w:rsidRPr="003B7035">
        <w:rPr>
          <w:rFonts w:ascii="Arial" w:hAnsi="Arial" w:cs="Arial"/>
          <w:color w:val="auto"/>
          <w:sz w:val="24"/>
          <w:szCs w:val="24"/>
        </w:rPr>
        <w:t>, 201</w:t>
      </w:r>
      <w:r w:rsidR="00DB54C0">
        <w:rPr>
          <w:rFonts w:ascii="Arial" w:hAnsi="Arial" w:cs="Arial"/>
          <w:color w:val="auto"/>
          <w:sz w:val="24"/>
          <w:szCs w:val="24"/>
        </w:rPr>
        <w:t>8</w:t>
      </w:r>
    </w:p>
    <w:p w:rsidR="002B4080" w:rsidRPr="003B7035" w:rsidRDefault="001419B4" w:rsidP="00DB54C0">
      <w:pPr>
        <w:pStyle w:val="Body"/>
        <w:ind w:left="90" w:right="1350"/>
        <w:rPr>
          <w:rFonts w:ascii="Arial" w:hAnsi="Arial" w:cs="Arial"/>
          <w:color w:val="auto"/>
          <w:sz w:val="24"/>
          <w:szCs w:val="24"/>
          <w:shd w:val="clear" w:color="auto" w:fill="F8F9FA"/>
        </w:rPr>
      </w:pPr>
      <w:r>
        <w:rPr>
          <w:rFonts w:ascii="Arial" w:hAnsi="Arial" w:cs="Arial"/>
          <w:color w:val="auto"/>
          <w:sz w:val="24"/>
          <w:szCs w:val="24"/>
        </w:rPr>
        <w:t>Endors</w:t>
      </w:r>
      <w:r w:rsidR="002B4080">
        <w:rPr>
          <w:rFonts w:ascii="Arial" w:hAnsi="Arial" w:cs="Arial"/>
          <w:color w:val="auto"/>
          <w:sz w:val="24"/>
          <w:szCs w:val="24"/>
        </w:rPr>
        <w:t xml:space="preserve">ed </w:t>
      </w:r>
      <w:r>
        <w:rPr>
          <w:rFonts w:ascii="Arial" w:hAnsi="Arial" w:cs="Arial"/>
          <w:color w:val="auto"/>
          <w:sz w:val="24"/>
          <w:szCs w:val="24"/>
        </w:rPr>
        <w:t>by</w:t>
      </w:r>
      <w:r w:rsidR="002B4080">
        <w:rPr>
          <w:rFonts w:ascii="Arial" w:hAnsi="Arial" w:cs="Arial"/>
          <w:color w:val="auto"/>
          <w:sz w:val="24"/>
          <w:szCs w:val="24"/>
        </w:rPr>
        <w:t xml:space="preserve"> LNA </w:t>
      </w:r>
    </w:p>
    <w:p w:rsidR="003B7035" w:rsidRPr="003B7035" w:rsidRDefault="003B7035" w:rsidP="008A354E">
      <w:pPr>
        <w:pStyle w:val="Body"/>
        <w:ind w:right="1350"/>
        <w:rPr>
          <w:rFonts w:ascii="Arial" w:hAnsi="Arial" w:cs="Arial"/>
          <w:color w:val="auto"/>
          <w:sz w:val="24"/>
          <w:szCs w:val="24"/>
          <w:shd w:val="clear" w:color="auto" w:fill="F8F9FA"/>
        </w:rPr>
      </w:pPr>
    </w:p>
    <w:p w:rsidR="002B4080" w:rsidRPr="002B4080" w:rsidRDefault="002B4080" w:rsidP="003D06F9">
      <w:pPr>
        <w:pStyle w:val="Body"/>
        <w:ind w:left="90" w:right="1350"/>
        <w:rPr>
          <w:rFonts w:ascii="Arial" w:hAnsi="Arial" w:cs="Arial"/>
          <w:b/>
          <w:color w:val="auto"/>
          <w:sz w:val="24"/>
          <w:szCs w:val="24"/>
        </w:rPr>
      </w:pPr>
      <w:r w:rsidRPr="002B4080">
        <w:rPr>
          <w:rFonts w:ascii="Arial" w:hAnsi="Arial" w:cs="Arial"/>
          <w:b/>
          <w:color w:val="auto"/>
          <w:sz w:val="24"/>
          <w:szCs w:val="24"/>
        </w:rPr>
        <w:t>TANK FARM POSITION STATEMENT</w:t>
      </w:r>
    </w:p>
    <w:p w:rsidR="002B4080" w:rsidRDefault="002B4080" w:rsidP="003D06F9">
      <w:pPr>
        <w:pStyle w:val="Body"/>
        <w:ind w:left="90" w:right="1350"/>
        <w:rPr>
          <w:rFonts w:ascii="Arial" w:hAnsi="Arial" w:cs="Arial"/>
          <w:color w:val="auto"/>
          <w:sz w:val="24"/>
          <w:szCs w:val="24"/>
        </w:rPr>
      </w:pPr>
    </w:p>
    <w:p w:rsidR="00D33470" w:rsidRDefault="00DB54C0" w:rsidP="003D06F9">
      <w:pPr>
        <w:pStyle w:val="Body"/>
        <w:ind w:left="90" w:right="1350"/>
        <w:rPr>
          <w:rFonts w:ascii="Arial" w:hAnsi="Arial" w:cs="Arial"/>
          <w:color w:val="auto"/>
          <w:sz w:val="24"/>
          <w:szCs w:val="24"/>
        </w:rPr>
      </w:pPr>
      <w:r>
        <w:rPr>
          <w:rFonts w:ascii="Arial" w:hAnsi="Arial" w:cs="Arial"/>
          <w:color w:val="auto"/>
          <w:sz w:val="24"/>
          <w:szCs w:val="24"/>
        </w:rPr>
        <w:t xml:space="preserve">Communities along the Willamette, such as </w:t>
      </w:r>
      <w:proofErr w:type="spellStart"/>
      <w:r>
        <w:rPr>
          <w:rFonts w:ascii="Arial" w:hAnsi="Arial" w:cs="Arial"/>
          <w:color w:val="auto"/>
          <w:sz w:val="24"/>
          <w:szCs w:val="24"/>
        </w:rPr>
        <w:t>Linnt</w:t>
      </w:r>
      <w:r w:rsidR="00D01B14">
        <w:rPr>
          <w:rFonts w:ascii="Arial" w:hAnsi="Arial" w:cs="Arial"/>
          <w:color w:val="auto"/>
          <w:sz w:val="24"/>
          <w:szCs w:val="24"/>
        </w:rPr>
        <w:t>on</w:t>
      </w:r>
      <w:proofErr w:type="spellEnd"/>
      <w:r w:rsidR="00D01B14">
        <w:rPr>
          <w:rFonts w:ascii="Arial" w:hAnsi="Arial" w:cs="Arial"/>
          <w:color w:val="auto"/>
          <w:sz w:val="24"/>
          <w:szCs w:val="24"/>
        </w:rPr>
        <w:t>, value</w:t>
      </w:r>
      <w:r w:rsidR="00592CDF">
        <w:rPr>
          <w:rFonts w:ascii="Arial" w:hAnsi="Arial" w:cs="Arial"/>
          <w:color w:val="auto"/>
          <w:sz w:val="24"/>
          <w:szCs w:val="24"/>
        </w:rPr>
        <w:t xml:space="preserve"> our</w:t>
      </w:r>
      <w:r w:rsidR="00D01B14">
        <w:rPr>
          <w:rFonts w:ascii="Arial" w:hAnsi="Arial" w:cs="Arial"/>
          <w:color w:val="auto"/>
          <w:sz w:val="24"/>
          <w:szCs w:val="24"/>
        </w:rPr>
        <w:t xml:space="preserve"> views of </w:t>
      </w:r>
      <w:r w:rsidR="00617CDF">
        <w:rPr>
          <w:rFonts w:ascii="Arial" w:hAnsi="Arial" w:cs="Arial"/>
          <w:color w:val="auto"/>
          <w:sz w:val="24"/>
          <w:szCs w:val="24"/>
        </w:rPr>
        <w:t xml:space="preserve">four </w:t>
      </w:r>
      <w:r w:rsidR="00D01B14">
        <w:rPr>
          <w:rFonts w:ascii="Arial" w:hAnsi="Arial" w:cs="Arial"/>
          <w:color w:val="auto"/>
          <w:sz w:val="24"/>
          <w:szCs w:val="24"/>
        </w:rPr>
        <w:t xml:space="preserve">mountains and </w:t>
      </w:r>
      <w:r>
        <w:rPr>
          <w:rFonts w:ascii="Arial" w:hAnsi="Arial" w:cs="Arial"/>
          <w:color w:val="auto"/>
          <w:sz w:val="24"/>
          <w:szCs w:val="24"/>
        </w:rPr>
        <w:t>the sight of the flowing river</w:t>
      </w:r>
      <w:r w:rsidR="00D01B14">
        <w:rPr>
          <w:rFonts w:ascii="Arial" w:hAnsi="Arial" w:cs="Arial"/>
          <w:color w:val="auto"/>
          <w:sz w:val="24"/>
          <w:szCs w:val="24"/>
        </w:rPr>
        <w:t>.  The forests surround us and s</w:t>
      </w:r>
      <w:r>
        <w:rPr>
          <w:rFonts w:ascii="Arial" w:hAnsi="Arial" w:cs="Arial"/>
          <w:color w:val="auto"/>
          <w:sz w:val="24"/>
          <w:szCs w:val="24"/>
        </w:rPr>
        <w:t>ounds of foghorns</w:t>
      </w:r>
      <w:r w:rsidR="00D01B14">
        <w:rPr>
          <w:rFonts w:ascii="Arial" w:hAnsi="Arial" w:cs="Arial"/>
          <w:color w:val="auto"/>
          <w:sz w:val="24"/>
          <w:szCs w:val="24"/>
        </w:rPr>
        <w:t xml:space="preserve"> are heard in the early morning</w:t>
      </w:r>
      <w:r w:rsidR="003D06F9">
        <w:rPr>
          <w:rFonts w:ascii="Arial" w:hAnsi="Arial" w:cs="Arial"/>
          <w:color w:val="auto"/>
          <w:sz w:val="24"/>
          <w:szCs w:val="24"/>
        </w:rPr>
        <w:t xml:space="preserve"> hours</w:t>
      </w:r>
      <w:r>
        <w:rPr>
          <w:rFonts w:ascii="Arial" w:hAnsi="Arial" w:cs="Arial"/>
          <w:color w:val="auto"/>
          <w:sz w:val="24"/>
          <w:szCs w:val="24"/>
        </w:rPr>
        <w:t>.</w:t>
      </w:r>
      <w:r w:rsidR="00D01B14">
        <w:rPr>
          <w:rFonts w:ascii="Arial" w:hAnsi="Arial" w:cs="Arial"/>
          <w:color w:val="auto"/>
          <w:sz w:val="24"/>
          <w:szCs w:val="24"/>
        </w:rPr>
        <w:t xml:space="preserve">  </w:t>
      </w:r>
      <w:r>
        <w:rPr>
          <w:rFonts w:ascii="Arial" w:hAnsi="Arial" w:cs="Arial"/>
          <w:color w:val="auto"/>
          <w:sz w:val="24"/>
          <w:szCs w:val="24"/>
        </w:rPr>
        <w:t xml:space="preserve">It </w:t>
      </w:r>
      <w:r w:rsidR="00D01B14">
        <w:rPr>
          <w:rFonts w:ascii="Arial" w:hAnsi="Arial" w:cs="Arial"/>
          <w:color w:val="auto"/>
          <w:sz w:val="24"/>
          <w:szCs w:val="24"/>
        </w:rPr>
        <w:t>is</w:t>
      </w:r>
      <w:r w:rsidR="003D06F9">
        <w:rPr>
          <w:rFonts w:ascii="Arial" w:hAnsi="Arial" w:cs="Arial"/>
          <w:color w:val="auto"/>
          <w:sz w:val="24"/>
          <w:szCs w:val="24"/>
        </w:rPr>
        <w:t xml:space="preserve"> generally a peaceful scene. </w:t>
      </w:r>
      <w:r>
        <w:rPr>
          <w:rFonts w:ascii="Arial" w:hAnsi="Arial" w:cs="Arial"/>
          <w:color w:val="auto"/>
          <w:sz w:val="24"/>
          <w:szCs w:val="24"/>
        </w:rPr>
        <w:t xml:space="preserve">But the 6-mile riverfront is also home to </w:t>
      </w:r>
      <w:r w:rsidR="006342A3">
        <w:rPr>
          <w:rFonts w:ascii="Arial" w:hAnsi="Arial" w:cs="Arial"/>
          <w:color w:val="auto"/>
          <w:sz w:val="24"/>
          <w:szCs w:val="24"/>
        </w:rPr>
        <w:t>scores</w:t>
      </w:r>
      <w:r>
        <w:rPr>
          <w:rFonts w:ascii="Arial" w:hAnsi="Arial" w:cs="Arial"/>
          <w:color w:val="auto"/>
          <w:sz w:val="24"/>
          <w:szCs w:val="24"/>
        </w:rPr>
        <w:t xml:space="preserve"> of fuel tanks—a potentially catastrophic threat to local people and their homes</w:t>
      </w:r>
      <w:r w:rsidR="00592CDF">
        <w:rPr>
          <w:rFonts w:ascii="Arial" w:hAnsi="Arial" w:cs="Arial"/>
          <w:color w:val="auto"/>
          <w:sz w:val="24"/>
          <w:szCs w:val="24"/>
        </w:rPr>
        <w:t>.</w:t>
      </w:r>
      <w:r>
        <w:rPr>
          <w:rFonts w:ascii="Arial" w:hAnsi="Arial" w:cs="Arial"/>
          <w:color w:val="auto"/>
          <w:sz w:val="24"/>
          <w:szCs w:val="24"/>
        </w:rPr>
        <w:t xml:space="preserve"> </w:t>
      </w:r>
      <w:r w:rsidR="00592CDF">
        <w:rPr>
          <w:rFonts w:ascii="Arial" w:hAnsi="Arial" w:cs="Arial"/>
          <w:color w:val="auto"/>
          <w:sz w:val="24"/>
          <w:szCs w:val="24"/>
        </w:rPr>
        <w:t>However,</w:t>
      </w:r>
      <w:r>
        <w:rPr>
          <w:rFonts w:ascii="Arial" w:hAnsi="Arial" w:cs="Arial"/>
          <w:color w:val="auto"/>
          <w:sz w:val="24"/>
          <w:szCs w:val="24"/>
        </w:rPr>
        <w:t xml:space="preserve"> these tanks supply 90% of the entire state’s fuel</w:t>
      </w:r>
      <w:r w:rsidR="00D33470">
        <w:rPr>
          <w:rFonts w:ascii="Arial" w:hAnsi="Arial" w:cs="Arial"/>
          <w:color w:val="auto"/>
          <w:sz w:val="24"/>
          <w:szCs w:val="24"/>
        </w:rPr>
        <w:t xml:space="preserve"> (gasoline, diesel, jet fuel</w:t>
      </w:r>
      <w:r w:rsidR="00B6156D">
        <w:rPr>
          <w:rFonts w:ascii="Arial" w:hAnsi="Arial" w:cs="Arial"/>
          <w:color w:val="auto"/>
          <w:sz w:val="24"/>
          <w:szCs w:val="24"/>
        </w:rPr>
        <w:t>, electr</w:t>
      </w:r>
      <w:r w:rsidR="00592CDF">
        <w:rPr>
          <w:rFonts w:ascii="Arial" w:hAnsi="Arial" w:cs="Arial"/>
          <w:color w:val="auto"/>
          <w:sz w:val="24"/>
          <w:szCs w:val="24"/>
        </w:rPr>
        <w:t>icity)</w:t>
      </w:r>
      <w:r w:rsidR="00C73DCD">
        <w:rPr>
          <w:rFonts w:ascii="Arial" w:hAnsi="Arial" w:cs="Arial"/>
          <w:color w:val="auto"/>
          <w:sz w:val="24"/>
          <w:szCs w:val="24"/>
        </w:rPr>
        <w:t xml:space="preserve"> </w:t>
      </w:r>
      <w:r w:rsidR="00592CDF">
        <w:rPr>
          <w:rFonts w:ascii="Arial" w:hAnsi="Arial" w:cs="Arial"/>
          <w:color w:val="auto"/>
          <w:sz w:val="24"/>
          <w:szCs w:val="24"/>
        </w:rPr>
        <w:t xml:space="preserve">and pose a severe </w:t>
      </w:r>
      <w:r>
        <w:rPr>
          <w:rFonts w:ascii="Arial" w:hAnsi="Arial" w:cs="Arial"/>
          <w:color w:val="auto"/>
          <w:sz w:val="24"/>
          <w:szCs w:val="24"/>
        </w:rPr>
        <w:t xml:space="preserve">challenge to </w:t>
      </w:r>
      <w:r w:rsidRPr="00FA5C03">
        <w:rPr>
          <w:rFonts w:ascii="Arial" w:hAnsi="Arial" w:cs="Arial"/>
          <w:color w:val="auto"/>
          <w:sz w:val="24"/>
          <w:szCs w:val="24"/>
          <w:u w:val="single"/>
        </w:rPr>
        <w:t>all</w:t>
      </w:r>
      <w:r>
        <w:rPr>
          <w:rFonts w:ascii="Arial" w:hAnsi="Arial" w:cs="Arial"/>
          <w:color w:val="auto"/>
          <w:sz w:val="24"/>
          <w:szCs w:val="24"/>
        </w:rPr>
        <w:t xml:space="preserve"> of Oregon’s resilience following a major seismic event.</w:t>
      </w:r>
      <w:r w:rsidR="00D01B14">
        <w:rPr>
          <w:rFonts w:ascii="Arial" w:hAnsi="Arial" w:cs="Arial"/>
          <w:color w:val="auto"/>
          <w:sz w:val="24"/>
          <w:szCs w:val="24"/>
        </w:rPr>
        <w:t xml:space="preserve">  </w:t>
      </w:r>
    </w:p>
    <w:p w:rsidR="00855BD1" w:rsidRDefault="00592CDF" w:rsidP="003D06F9">
      <w:pPr>
        <w:pStyle w:val="Body"/>
        <w:ind w:left="90" w:right="1350"/>
        <w:rPr>
          <w:rFonts w:ascii="Arial" w:hAnsi="Arial" w:cs="Arial"/>
          <w:color w:val="auto"/>
          <w:sz w:val="24"/>
          <w:szCs w:val="24"/>
        </w:rPr>
      </w:pPr>
      <w:r>
        <w:rPr>
          <w:rFonts w:ascii="Arial" w:hAnsi="Arial" w:cs="Arial"/>
          <w:color w:val="auto"/>
          <w:sz w:val="24"/>
          <w:szCs w:val="24"/>
        </w:rPr>
        <w:t xml:space="preserve">The Cascadia fault, the </w:t>
      </w:r>
      <w:r w:rsidR="00CA4AB7">
        <w:rPr>
          <w:rFonts w:ascii="Arial" w:hAnsi="Arial" w:cs="Arial"/>
          <w:color w:val="auto"/>
          <w:sz w:val="24"/>
          <w:szCs w:val="24"/>
        </w:rPr>
        <w:t>primary seismic hazard</w:t>
      </w:r>
      <w:r>
        <w:rPr>
          <w:rFonts w:ascii="Arial" w:hAnsi="Arial" w:cs="Arial"/>
          <w:color w:val="auto"/>
          <w:sz w:val="24"/>
          <w:szCs w:val="24"/>
        </w:rPr>
        <w:t>,</w:t>
      </w:r>
      <w:r w:rsidR="00CA4AB7">
        <w:rPr>
          <w:rFonts w:ascii="Arial" w:hAnsi="Arial" w:cs="Arial"/>
          <w:color w:val="auto"/>
          <w:sz w:val="24"/>
          <w:szCs w:val="24"/>
        </w:rPr>
        <w:t xml:space="preserve"> </w:t>
      </w:r>
      <w:r w:rsidR="00855BD1">
        <w:rPr>
          <w:rFonts w:ascii="Arial" w:hAnsi="Arial" w:cs="Arial"/>
          <w:color w:val="auto"/>
          <w:sz w:val="24"/>
          <w:szCs w:val="24"/>
        </w:rPr>
        <w:t>runs for 700 miles from northern California to southern Canada.</w:t>
      </w:r>
    </w:p>
    <w:p w:rsidR="00D33470" w:rsidRDefault="00D33470" w:rsidP="00D01B14">
      <w:pPr>
        <w:pStyle w:val="Body"/>
        <w:ind w:left="90" w:right="1350"/>
        <w:rPr>
          <w:rFonts w:ascii="Arial" w:hAnsi="Arial" w:cs="Arial"/>
          <w:color w:val="auto"/>
          <w:sz w:val="24"/>
          <w:szCs w:val="24"/>
        </w:rPr>
      </w:pPr>
    </w:p>
    <w:p w:rsidR="00B6156D" w:rsidRPr="00B6156D" w:rsidRDefault="00B6156D" w:rsidP="00D33470">
      <w:pPr>
        <w:pStyle w:val="Body"/>
        <w:ind w:left="90" w:right="1350"/>
        <w:rPr>
          <w:rFonts w:ascii="Arial" w:hAnsi="Arial" w:cs="Arial"/>
          <w:b/>
          <w:color w:val="auto"/>
          <w:sz w:val="24"/>
          <w:szCs w:val="24"/>
        </w:rPr>
      </w:pPr>
      <w:r w:rsidRPr="00B6156D">
        <w:rPr>
          <w:rFonts w:ascii="Arial" w:hAnsi="Arial" w:cs="Arial"/>
          <w:b/>
          <w:color w:val="auto"/>
          <w:sz w:val="24"/>
          <w:szCs w:val="24"/>
        </w:rPr>
        <w:t>History of Reports</w:t>
      </w:r>
    </w:p>
    <w:p w:rsidR="00B6156D" w:rsidRPr="00FA5C03" w:rsidRDefault="00B6156D" w:rsidP="00D33470">
      <w:pPr>
        <w:pStyle w:val="Body"/>
        <w:ind w:left="90" w:right="1350"/>
        <w:rPr>
          <w:rFonts w:ascii="Arial" w:hAnsi="Arial" w:cs="Arial"/>
          <w:color w:val="auto"/>
          <w:sz w:val="24"/>
          <w:szCs w:val="24"/>
        </w:rPr>
      </w:pPr>
      <w:r w:rsidRPr="00617CDF">
        <w:rPr>
          <w:rFonts w:ascii="Arial" w:hAnsi="Arial" w:cs="Arial"/>
          <w:color w:val="auto"/>
          <w:sz w:val="24"/>
          <w:szCs w:val="24"/>
          <w:u w:val="single"/>
        </w:rPr>
        <w:t>The Oregon Resiliency Plan</w:t>
      </w:r>
      <w:r>
        <w:rPr>
          <w:rFonts w:ascii="Arial" w:hAnsi="Arial" w:cs="Arial"/>
          <w:color w:val="auto"/>
          <w:sz w:val="24"/>
          <w:szCs w:val="24"/>
        </w:rPr>
        <w:t xml:space="preserve"> was published in 2013 by the Oregon Seismic Safety Policy Advisory Commission.  After </w:t>
      </w:r>
      <w:r w:rsidR="00C73DCD">
        <w:rPr>
          <w:rFonts w:ascii="Arial" w:hAnsi="Arial" w:cs="Arial"/>
          <w:color w:val="auto"/>
          <w:sz w:val="24"/>
          <w:szCs w:val="24"/>
        </w:rPr>
        <w:t>Oregon</w:t>
      </w:r>
      <w:r w:rsidR="00CA4AB7">
        <w:rPr>
          <w:rFonts w:ascii="Arial" w:hAnsi="Arial" w:cs="Arial"/>
          <w:color w:val="auto"/>
          <w:sz w:val="24"/>
          <w:szCs w:val="24"/>
        </w:rPr>
        <w:t>’s</w:t>
      </w:r>
      <w:r w:rsidR="00C73DCD">
        <w:rPr>
          <w:rFonts w:ascii="Arial" w:hAnsi="Arial" w:cs="Arial"/>
          <w:color w:val="auto"/>
          <w:sz w:val="24"/>
          <w:szCs w:val="24"/>
        </w:rPr>
        <w:t xml:space="preserve"> Department of</w:t>
      </w:r>
      <w:r w:rsidR="00CA4AB7">
        <w:rPr>
          <w:rFonts w:ascii="Arial" w:hAnsi="Arial" w:cs="Arial"/>
          <w:color w:val="auto"/>
          <w:sz w:val="24"/>
          <w:szCs w:val="24"/>
        </w:rPr>
        <w:t xml:space="preserve"> Geology and Mineral Industries (DOGAMI) </w:t>
      </w:r>
      <w:r>
        <w:rPr>
          <w:rFonts w:ascii="Arial" w:hAnsi="Arial" w:cs="Arial"/>
          <w:color w:val="auto"/>
          <w:sz w:val="24"/>
          <w:szCs w:val="24"/>
        </w:rPr>
        <w:t xml:space="preserve">staff studied the </w:t>
      </w:r>
      <w:r w:rsidR="00CA4AB7">
        <w:rPr>
          <w:rFonts w:ascii="Arial" w:hAnsi="Arial" w:cs="Arial"/>
          <w:color w:val="auto"/>
          <w:sz w:val="24"/>
          <w:szCs w:val="24"/>
        </w:rPr>
        <w:t xml:space="preserve">Critical Energy Infrastructure (CEI) </w:t>
      </w:r>
      <w:r>
        <w:rPr>
          <w:rFonts w:ascii="Arial" w:hAnsi="Arial" w:cs="Arial"/>
          <w:color w:val="auto"/>
          <w:sz w:val="24"/>
          <w:szCs w:val="24"/>
        </w:rPr>
        <w:t xml:space="preserve">Hub, </w:t>
      </w:r>
      <w:r w:rsidR="00C73DCD" w:rsidRPr="00617CDF">
        <w:rPr>
          <w:rFonts w:ascii="Arial" w:hAnsi="Arial" w:cs="Arial"/>
          <w:color w:val="auto"/>
          <w:sz w:val="24"/>
          <w:szCs w:val="24"/>
        </w:rPr>
        <w:t>they</w:t>
      </w:r>
      <w:r w:rsidRPr="00617CDF">
        <w:rPr>
          <w:rFonts w:ascii="Arial" w:hAnsi="Arial" w:cs="Arial"/>
          <w:color w:val="auto"/>
          <w:sz w:val="24"/>
          <w:szCs w:val="24"/>
        </w:rPr>
        <w:t xml:space="preserve"> </w:t>
      </w:r>
      <w:r w:rsidRPr="00FA5C03">
        <w:rPr>
          <w:rFonts w:ascii="Arial" w:hAnsi="Arial" w:cs="Arial"/>
          <w:color w:val="auto"/>
          <w:sz w:val="24"/>
          <w:szCs w:val="24"/>
        </w:rPr>
        <w:t xml:space="preserve">cited “major seismic vulnerabilities” due to “no or antiquated standards of building structure” and “soils susceptible to liquefaction.” </w:t>
      </w:r>
      <w:r w:rsidR="00B508A2">
        <w:rPr>
          <w:rFonts w:ascii="Arial" w:hAnsi="Arial" w:cs="Arial"/>
          <w:color w:val="auto"/>
          <w:sz w:val="24"/>
          <w:szCs w:val="24"/>
        </w:rPr>
        <w:t xml:space="preserve"> </w:t>
      </w:r>
      <w:r w:rsidR="00CA4AB7" w:rsidRPr="00FA5C03">
        <w:rPr>
          <w:rFonts w:ascii="Arial" w:hAnsi="Arial" w:cs="Arial"/>
          <w:color w:val="auto"/>
          <w:sz w:val="24"/>
          <w:szCs w:val="24"/>
        </w:rPr>
        <w:t xml:space="preserve">According to this report, </w:t>
      </w:r>
      <w:r w:rsidR="00C73DCD" w:rsidRPr="00FA5C03">
        <w:rPr>
          <w:rFonts w:ascii="Arial" w:hAnsi="Arial" w:cs="Arial"/>
          <w:color w:val="auto"/>
          <w:sz w:val="24"/>
          <w:szCs w:val="24"/>
        </w:rPr>
        <w:t>“Cascadia earthquakes pose substantial risk to the CEI Hub and to Oregon. Not only are the energy sector facilities in the CEI Hub dependent on other sectors and systems in Oregon, including transportation and communication, they are interdependent upon each other.</w:t>
      </w:r>
      <w:r w:rsidR="006342A3" w:rsidRPr="00FA5C03">
        <w:rPr>
          <w:rFonts w:ascii="Arial" w:hAnsi="Arial" w:cs="Arial"/>
          <w:color w:val="auto"/>
          <w:sz w:val="24"/>
          <w:szCs w:val="24"/>
        </w:rPr>
        <w:t>”</w:t>
      </w:r>
      <w:r w:rsidR="00C73DCD" w:rsidRPr="00FA5C03">
        <w:rPr>
          <w:rFonts w:ascii="Arial" w:hAnsi="Arial" w:cs="Arial"/>
          <w:color w:val="auto"/>
          <w:sz w:val="24"/>
          <w:szCs w:val="24"/>
        </w:rPr>
        <w:t xml:space="preserve">  </w:t>
      </w:r>
      <w:r w:rsidRPr="00FA5C03">
        <w:rPr>
          <w:rFonts w:ascii="Arial" w:hAnsi="Arial" w:cs="Arial"/>
          <w:color w:val="auto"/>
          <w:sz w:val="24"/>
          <w:szCs w:val="24"/>
        </w:rPr>
        <w:t>They recommended to the state that placement of tanks be diversified and located on bedrock.</w:t>
      </w:r>
    </w:p>
    <w:p w:rsidR="00D33470" w:rsidRDefault="00D33470" w:rsidP="00B6156D">
      <w:pPr>
        <w:pStyle w:val="Body"/>
        <w:ind w:right="1350"/>
        <w:rPr>
          <w:rFonts w:ascii="Arial" w:hAnsi="Arial" w:cs="Arial"/>
          <w:color w:val="auto"/>
          <w:sz w:val="24"/>
          <w:szCs w:val="24"/>
        </w:rPr>
      </w:pPr>
    </w:p>
    <w:p w:rsidR="00D01B14" w:rsidRPr="00FA5C03" w:rsidRDefault="00D01B14" w:rsidP="00D01B14">
      <w:pPr>
        <w:pStyle w:val="Body"/>
        <w:ind w:left="90" w:right="1350"/>
        <w:rPr>
          <w:rFonts w:ascii="Arial" w:hAnsi="Arial" w:cs="Arial"/>
          <w:color w:val="auto"/>
          <w:sz w:val="24"/>
          <w:szCs w:val="24"/>
        </w:rPr>
      </w:pPr>
      <w:r>
        <w:rPr>
          <w:rFonts w:ascii="Arial" w:hAnsi="Arial" w:cs="Arial"/>
          <w:color w:val="auto"/>
          <w:sz w:val="24"/>
          <w:szCs w:val="24"/>
        </w:rPr>
        <w:t>Tony Schick, writing for OPB</w:t>
      </w:r>
      <w:r w:rsidR="00D33470">
        <w:rPr>
          <w:rFonts w:ascii="Arial" w:hAnsi="Arial" w:cs="Arial"/>
          <w:color w:val="auto"/>
          <w:sz w:val="24"/>
          <w:szCs w:val="24"/>
        </w:rPr>
        <w:t xml:space="preserve"> in 2015</w:t>
      </w:r>
      <w:r w:rsidR="001305C3">
        <w:rPr>
          <w:rFonts w:ascii="Arial" w:hAnsi="Arial" w:cs="Arial"/>
          <w:color w:val="auto"/>
          <w:sz w:val="24"/>
          <w:szCs w:val="24"/>
        </w:rPr>
        <w:t xml:space="preserve"> </w:t>
      </w:r>
      <w:r w:rsidR="00617CDF">
        <w:rPr>
          <w:rFonts w:ascii="Arial" w:hAnsi="Arial" w:cs="Arial"/>
          <w:color w:val="auto"/>
          <w:sz w:val="24"/>
          <w:szCs w:val="24"/>
        </w:rPr>
        <w:t xml:space="preserve">in </w:t>
      </w:r>
      <w:r w:rsidR="001305C3" w:rsidRPr="00617CDF">
        <w:rPr>
          <w:rFonts w:ascii="Arial" w:hAnsi="Arial" w:cs="Arial"/>
          <w:color w:val="auto"/>
          <w:sz w:val="24"/>
          <w:szCs w:val="24"/>
        </w:rPr>
        <w:t>“</w:t>
      </w:r>
      <w:r w:rsidR="001305C3" w:rsidRPr="00617CDF">
        <w:rPr>
          <w:rFonts w:ascii="Arial" w:hAnsi="Arial" w:cs="Arial"/>
          <w:color w:val="auto"/>
          <w:sz w:val="24"/>
          <w:szCs w:val="24"/>
          <w:u w:val="single"/>
        </w:rPr>
        <w:t>How We Mapped NW Portland’s ‘Tank Farms</w:t>
      </w:r>
      <w:r w:rsidR="001305C3" w:rsidRPr="001276E8">
        <w:rPr>
          <w:rFonts w:ascii="Arial" w:hAnsi="Arial" w:cs="Arial"/>
          <w:color w:val="auto"/>
          <w:sz w:val="24"/>
          <w:szCs w:val="24"/>
        </w:rPr>
        <w:t>’”</w:t>
      </w:r>
      <w:r>
        <w:rPr>
          <w:rFonts w:ascii="Arial" w:hAnsi="Arial" w:cs="Arial"/>
          <w:color w:val="auto"/>
          <w:sz w:val="24"/>
          <w:szCs w:val="24"/>
        </w:rPr>
        <w:t xml:space="preserve"> </w:t>
      </w:r>
      <w:r w:rsidR="003D06F9">
        <w:rPr>
          <w:rFonts w:ascii="Arial" w:hAnsi="Arial" w:cs="Arial"/>
          <w:color w:val="auto"/>
          <w:sz w:val="24"/>
          <w:szCs w:val="24"/>
        </w:rPr>
        <w:t>furthered our knowledge</w:t>
      </w:r>
      <w:r w:rsidR="00CA4AB7">
        <w:rPr>
          <w:rFonts w:ascii="Arial" w:hAnsi="Arial" w:cs="Arial"/>
          <w:color w:val="auto"/>
          <w:sz w:val="24"/>
          <w:szCs w:val="24"/>
        </w:rPr>
        <w:t xml:space="preserve"> of</w:t>
      </w:r>
      <w:r w:rsidR="00617CDF">
        <w:rPr>
          <w:rFonts w:ascii="Arial" w:hAnsi="Arial" w:cs="Arial"/>
          <w:color w:val="auto"/>
          <w:sz w:val="24"/>
          <w:szCs w:val="24"/>
        </w:rPr>
        <w:t xml:space="preserve"> the CEI Hub risks</w:t>
      </w:r>
      <w:r w:rsidR="003D06F9">
        <w:rPr>
          <w:rFonts w:ascii="Arial" w:hAnsi="Arial" w:cs="Arial"/>
          <w:color w:val="auto"/>
          <w:sz w:val="24"/>
          <w:szCs w:val="24"/>
        </w:rPr>
        <w:t xml:space="preserve">.  </w:t>
      </w:r>
      <w:r w:rsidR="00CA4AB7" w:rsidRPr="00FA5C03">
        <w:rPr>
          <w:rFonts w:ascii="Arial" w:hAnsi="Arial" w:cs="Arial"/>
          <w:color w:val="auto"/>
          <w:sz w:val="24"/>
          <w:szCs w:val="24"/>
        </w:rPr>
        <w:t>Schick</w:t>
      </w:r>
      <w:r w:rsidR="003D06F9" w:rsidRPr="00FA5C03">
        <w:rPr>
          <w:rFonts w:ascii="Arial" w:hAnsi="Arial" w:cs="Arial"/>
          <w:color w:val="auto"/>
          <w:sz w:val="24"/>
          <w:szCs w:val="24"/>
        </w:rPr>
        <w:t xml:space="preserve"> dubbed </w:t>
      </w:r>
      <w:r w:rsidR="00CA4AB7" w:rsidRPr="00FA5C03">
        <w:rPr>
          <w:rFonts w:ascii="Arial" w:hAnsi="Arial" w:cs="Arial"/>
          <w:color w:val="auto"/>
          <w:sz w:val="24"/>
          <w:szCs w:val="24"/>
        </w:rPr>
        <w:t xml:space="preserve">the CEI Hub </w:t>
      </w:r>
      <w:r w:rsidRPr="00FA5C03">
        <w:rPr>
          <w:rFonts w:ascii="Arial" w:hAnsi="Arial" w:cs="Arial"/>
          <w:color w:val="auto"/>
          <w:sz w:val="24"/>
          <w:szCs w:val="24"/>
        </w:rPr>
        <w:t>“Oregon’s Seismic Achilles Heel”</w:t>
      </w:r>
      <w:r w:rsidR="003D06F9" w:rsidRPr="00FA5C03">
        <w:rPr>
          <w:rFonts w:ascii="Arial" w:hAnsi="Arial" w:cs="Arial"/>
          <w:color w:val="auto"/>
          <w:sz w:val="24"/>
          <w:szCs w:val="24"/>
        </w:rPr>
        <w:t xml:space="preserve"> and stated</w:t>
      </w:r>
      <w:r w:rsidR="00CA4AB7" w:rsidRPr="00FA5C03">
        <w:rPr>
          <w:rFonts w:ascii="Arial" w:hAnsi="Arial" w:cs="Arial"/>
          <w:color w:val="auto"/>
          <w:sz w:val="24"/>
          <w:szCs w:val="24"/>
        </w:rPr>
        <w:t>,</w:t>
      </w:r>
      <w:r w:rsidRPr="00FA5C03">
        <w:rPr>
          <w:rFonts w:ascii="Arial" w:hAnsi="Arial" w:cs="Arial"/>
          <w:color w:val="auto"/>
          <w:sz w:val="24"/>
          <w:szCs w:val="24"/>
        </w:rPr>
        <w:t xml:space="preserve"> “</w:t>
      </w:r>
      <w:proofErr w:type="gramStart"/>
      <w:r w:rsidRPr="00FA5C03">
        <w:rPr>
          <w:rFonts w:ascii="Arial" w:hAnsi="Arial" w:cs="Arial"/>
          <w:color w:val="auto"/>
          <w:sz w:val="24"/>
          <w:szCs w:val="24"/>
        </w:rPr>
        <w:t>when</w:t>
      </w:r>
      <w:proofErr w:type="gramEnd"/>
      <w:r w:rsidRPr="00FA5C03">
        <w:rPr>
          <w:rFonts w:ascii="Arial" w:hAnsi="Arial" w:cs="Arial"/>
          <w:color w:val="auto"/>
          <w:sz w:val="24"/>
          <w:szCs w:val="24"/>
        </w:rPr>
        <w:t xml:space="preserve"> OPB began its coverage of the Cascadia subduction zone and Oregon’s seismic vulnerabilities, the ‘tank farms’ in Northwest Portland emerged very quickly as an important part of the series.”</w:t>
      </w:r>
      <w:r w:rsidR="006342A3" w:rsidRPr="00FA5C03">
        <w:rPr>
          <w:rFonts w:ascii="Arial" w:hAnsi="Arial" w:cs="Arial"/>
          <w:color w:val="auto"/>
          <w:sz w:val="24"/>
          <w:szCs w:val="24"/>
        </w:rPr>
        <w:t xml:space="preserve">  OPB produced a mapped</w:t>
      </w:r>
      <w:r w:rsidR="00A2393C" w:rsidRPr="00FA5C03">
        <w:rPr>
          <w:rFonts w:ascii="Arial" w:hAnsi="Arial" w:cs="Arial"/>
          <w:color w:val="auto"/>
          <w:sz w:val="24"/>
          <w:szCs w:val="24"/>
        </w:rPr>
        <w:t xml:space="preserve"> database of storage tanks and their contents, each </w:t>
      </w:r>
      <w:r w:rsidR="00D33470" w:rsidRPr="00FA5C03">
        <w:rPr>
          <w:rFonts w:ascii="Arial" w:hAnsi="Arial" w:cs="Arial"/>
          <w:color w:val="auto"/>
          <w:sz w:val="24"/>
          <w:szCs w:val="24"/>
        </w:rPr>
        <w:t>tank</w:t>
      </w:r>
      <w:r w:rsidR="00A2393C" w:rsidRPr="00FA5C03">
        <w:rPr>
          <w:rFonts w:ascii="Arial" w:hAnsi="Arial" w:cs="Arial"/>
          <w:color w:val="auto"/>
          <w:sz w:val="24"/>
          <w:szCs w:val="24"/>
        </w:rPr>
        <w:t xml:space="preserve"> shaded according to the year of </w:t>
      </w:r>
      <w:r w:rsidR="00D33470" w:rsidRPr="00FA5C03">
        <w:rPr>
          <w:rFonts w:ascii="Arial" w:hAnsi="Arial" w:cs="Arial"/>
          <w:color w:val="auto"/>
          <w:sz w:val="24"/>
          <w:szCs w:val="24"/>
        </w:rPr>
        <w:t xml:space="preserve">its </w:t>
      </w:r>
      <w:r w:rsidR="00A2393C" w:rsidRPr="00FA5C03">
        <w:rPr>
          <w:rFonts w:ascii="Arial" w:hAnsi="Arial" w:cs="Arial"/>
          <w:color w:val="auto"/>
          <w:sz w:val="24"/>
          <w:szCs w:val="24"/>
        </w:rPr>
        <w:t>construction</w:t>
      </w:r>
      <w:r w:rsidR="00C023CC" w:rsidRPr="00FA5C03">
        <w:rPr>
          <w:rFonts w:ascii="Arial" w:hAnsi="Arial" w:cs="Arial"/>
          <w:color w:val="auto"/>
          <w:sz w:val="24"/>
          <w:szCs w:val="24"/>
        </w:rPr>
        <w:t xml:space="preserve">, confirming </w:t>
      </w:r>
      <w:r w:rsidR="003D06F9" w:rsidRPr="00FA5C03">
        <w:rPr>
          <w:rFonts w:ascii="Arial" w:hAnsi="Arial" w:cs="Arial"/>
          <w:color w:val="auto"/>
          <w:sz w:val="24"/>
          <w:szCs w:val="24"/>
        </w:rPr>
        <w:t xml:space="preserve">these </w:t>
      </w:r>
      <w:r w:rsidR="00C023CC" w:rsidRPr="00FA5C03">
        <w:rPr>
          <w:rFonts w:ascii="Arial" w:hAnsi="Arial" w:cs="Arial"/>
          <w:color w:val="auto"/>
          <w:sz w:val="24"/>
          <w:szCs w:val="24"/>
        </w:rPr>
        <w:t>tanks dat</w:t>
      </w:r>
      <w:r w:rsidR="003D06F9" w:rsidRPr="00FA5C03">
        <w:rPr>
          <w:rFonts w:ascii="Arial" w:hAnsi="Arial" w:cs="Arial"/>
          <w:color w:val="auto"/>
          <w:sz w:val="24"/>
          <w:szCs w:val="24"/>
        </w:rPr>
        <w:t xml:space="preserve">ed </w:t>
      </w:r>
      <w:r w:rsidR="00C023CC" w:rsidRPr="00FA5C03">
        <w:rPr>
          <w:rFonts w:ascii="Arial" w:hAnsi="Arial" w:cs="Arial"/>
          <w:color w:val="auto"/>
          <w:sz w:val="24"/>
          <w:szCs w:val="24"/>
        </w:rPr>
        <w:t>back to the 1920’s</w:t>
      </w:r>
      <w:r w:rsidR="001276E8" w:rsidRPr="00FA5C03">
        <w:rPr>
          <w:rFonts w:ascii="Arial" w:hAnsi="Arial" w:cs="Arial"/>
          <w:color w:val="auto"/>
          <w:sz w:val="24"/>
          <w:szCs w:val="24"/>
        </w:rPr>
        <w:t xml:space="preserve"> when seismic standards did not exist</w:t>
      </w:r>
      <w:r w:rsidR="00A2393C" w:rsidRPr="00FA5C03">
        <w:rPr>
          <w:rFonts w:ascii="Arial" w:hAnsi="Arial" w:cs="Arial"/>
          <w:color w:val="auto"/>
          <w:sz w:val="24"/>
          <w:szCs w:val="24"/>
        </w:rPr>
        <w:t xml:space="preserve">.  </w:t>
      </w:r>
      <w:r w:rsidR="001305C3" w:rsidRPr="00FA5C03">
        <w:rPr>
          <w:rFonts w:ascii="Arial" w:hAnsi="Arial" w:cs="Arial"/>
          <w:color w:val="auto"/>
          <w:sz w:val="24"/>
          <w:szCs w:val="24"/>
        </w:rPr>
        <w:t>M</w:t>
      </w:r>
      <w:r w:rsidR="00A2393C" w:rsidRPr="00FA5C03">
        <w:rPr>
          <w:rFonts w:ascii="Arial" w:hAnsi="Arial" w:cs="Arial"/>
          <w:color w:val="auto"/>
          <w:sz w:val="24"/>
          <w:szCs w:val="24"/>
        </w:rPr>
        <w:t>ap tiles</w:t>
      </w:r>
      <w:r w:rsidR="001305C3" w:rsidRPr="00FA5C03">
        <w:rPr>
          <w:rFonts w:ascii="Arial" w:hAnsi="Arial" w:cs="Arial"/>
          <w:color w:val="auto"/>
          <w:sz w:val="24"/>
          <w:szCs w:val="24"/>
        </w:rPr>
        <w:t xml:space="preserve"> from historic topographic maps</w:t>
      </w:r>
      <w:r w:rsidR="006342A3" w:rsidRPr="00FA5C03">
        <w:rPr>
          <w:rFonts w:ascii="Arial" w:hAnsi="Arial" w:cs="Arial"/>
          <w:color w:val="auto"/>
          <w:sz w:val="24"/>
          <w:szCs w:val="24"/>
        </w:rPr>
        <w:t xml:space="preserve"> from 1905</w:t>
      </w:r>
      <w:r w:rsidR="00CA4AB7" w:rsidRPr="00FA5C03">
        <w:rPr>
          <w:rFonts w:ascii="Arial" w:hAnsi="Arial" w:cs="Arial"/>
          <w:color w:val="auto"/>
          <w:sz w:val="24"/>
          <w:szCs w:val="24"/>
        </w:rPr>
        <w:t xml:space="preserve"> </w:t>
      </w:r>
      <w:r w:rsidR="001305C3" w:rsidRPr="00FA5C03">
        <w:rPr>
          <w:rFonts w:ascii="Arial" w:hAnsi="Arial" w:cs="Arial"/>
          <w:color w:val="auto"/>
          <w:sz w:val="24"/>
          <w:szCs w:val="24"/>
        </w:rPr>
        <w:t xml:space="preserve">were used </w:t>
      </w:r>
      <w:r w:rsidR="00A2393C" w:rsidRPr="00FA5C03">
        <w:rPr>
          <w:rFonts w:ascii="Arial" w:hAnsi="Arial" w:cs="Arial"/>
          <w:color w:val="auto"/>
          <w:sz w:val="24"/>
          <w:szCs w:val="24"/>
        </w:rPr>
        <w:t>to show where lakes</w:t>
      </w:r>
      <w:r w:rsidR="001305C3" w:rsidRPr="00FA5C03">
        <w:rPr>
          <w:rFonts w:ascii="Arial" w:hAnsi="Arial" w:cs="Arial"/>
          <w:color w:val="auto"/>
          <w:sz w:val="24"/>
          <w:szCs w:val="24"/>
        </w:rPr>
        <w:t>, marshes,</w:t>
      </w:r>
      <w:r w:rsidR="00A2393C" w:rsidRPr="00FA5C03">
        <w:rPr>
          <w:rFonts w:ascii="Arial" w:hAnsi="Arial" w:cs="Arial"/>
          <w:color w:val="auto"/>
          <w:sz w:val="24"/>
          <w:szCs w:val="24"/>
        </w:rPr>
        <w:t xml:space="preserve"> </w:t>
      </w:r>
      <w:r w:rsidR="00D33470" w:rsidRPr="00FA5C03">
        <w:rPr>
          <w:rFonts w:ascii="Arial" w:hAnsi="Arial" w:cs="Arial"/>
          <w:color w:val="auto"/>
          <w:sz w:val="24"/>
          <w:szCs w:val="24"/>
        </w:rPr>
        <w:t>and the river path used to be. Then, u</w:t>
      </w:r>
      <w:r w:rsidR="00A2393C" w:rsidRPr="00FA5C03">
        <w:rPr>
          <w:rFonts w:ascii="Arial" w:hAnsi="Arial" w:cs="Arial"/>
          <w:color w:val="auto"/>
          <w:sz w:val="24"/>
          <w:szCs w:val="24"/>
        </w:rPr>
        <w:t>sing Portland’s building footprint data</w:t>
      </w:r>
      <w:r w:rsidR="00CA4AB7" w:rsidRPr="00FA5C03">
        <w:rPr>
          <w:rFonts w:ascii="Arial" w:hAnsi="Arial" w:cs="Arial"/>
          <w:color w:val="auto"/>
          <w:sz w:val="24"/>
          <w:szCs w:val="24"/>
        </w:rPr>
        <w:t>,</w:t>
      </w:r>
      <w:r w:rsidR="00A2393C" w:rsidRPr="00FA5C03">
        <w:rPr>
          <w:rFonts w:ascii="Arial" w:hAnsi="Arial" w:cs="Arial"/>
          <w:color w:val="auto"/>
          <w:sz w:val="24"/>
          <w:szCs w:val="24"/>
        </w:rPr>
        <w:t xml:space="preserve"> they identified where fill had been used</w:t>
      </w:r>
      <w:r w:rsidR="00D33470" w:rsidRPr="00FA5C03">
        <w:rPr>
          <w:rFonts w:ascii="Arial" w:hAnsi="Arial" w:cs="Arial"/>
          <w:color w:val="auto"/>
          <w:sz w:val="24"/>
          <w:szCs w:val="24"/>
        </w:rPr>
        <w:t xml:space="preserve"> to create the infrastructure to support the </w:t>
      </w:r>
      <w:r w:rsidR="001305C3" w:rsidRPr="00FA5C03">
        <w:rPr>
          <w:rFonts w:ascii="Arial" w:hAnsi="Arial" w:cs="Arial"/>
          <w:color w:val="auto"/>
          <w:sz w:val="24"/>
          <w:szCs w:val="24"/>
        </w:rPr>
        <w:t>creation of commercial and industrial areas, including fuel tanks, substations, pipelines and transmission lines</w:t>
      </w:r>
      <w:r w:rsidR="00C023CC" w:rsidRPr="00FA5C03">
        <w:rPr>
          <w:rFonts w:ascii="Arial" w:hAnsi="Arial" w:cs="Arial"/>
          <w:color w:val="auto"/>
          <w:sz w:val="24"/>
          <w:szCs w:val="24"/>
        </w:rPr>
        <w:t xml:space="preserve">, </w:t>
      </w:r>
      <w:r w:rsidR="00CA4AB7" w:rsidRPr="00FA5C03">
        <w:rPr>
          <w:rFonts w:ascii="Arial" w:hAnsi="Arial" w:cs="Arial"/>
          <w:color w:val="auto"/>
          <w:sz w:val="24"/>
          <w:szCs w:val="24"/>
        </w:rPr>
        <w:t xml:space="preserve">thus </w:t>
      </w:r>
      <w:r w:rsidR="00C023CC" w:rsidRPr="00FA5C03">
        <w:rPr>
          <w:rFonts w:ascii="Arial" w:hAnsi="Arial" w:cs="Arial"/>
          <w:color w:val="auto"/>
          <w:sz w:val="24"/>
          <w:szCs w:val="24"/>
        </w:rPr>
        <w:t xml:space="preserve">confirming the </w:t>
      </w:r>
      <w:r w:rsidR="00B508A2">
        <w:rPr>
          <w:rFonts w:ascii="Arial" w:hAnsi="Arial" w:cs="Arial"/>
          <w:color w:val="auto"/>
          <w:sz w:val="24"/>
          <w:szCs w:val="24"/>
        </w:rPr>
        <w:t xml:space="preserve">locations of </w:t>
      </w:r>
      <w:r w:rsidR="00C023CC" w:rsidRPr="00FA5C03">
        <w:rPr>
          <w:rFonts w:ascii="Arial" w:hAnsi="Arial" w:cs="Arial"/>
          <w:color w:val="auto"/>
          <w:sz w:val="24"/>
          <w:szCs w:val="24"/>
        </w:rPr>
        <w:t>liquefaction risk</w:t>
      </w:r>
      <w:r w:rsidR="001305C3" w:rsidRPr="00FA5C03">
        <w:rPr>
          <w:rFonts w:ascii="Arial" w:hAnsi="Arial" w:cs="Arial"/>
          <w:color w:val="auto"/>
          <w:sz w:val="24"/>
          <w:szCs w:val="24"/>
        </w:rPr>
        <w:t>.</w:t>
      </w:r>
      <w:r w:rsidR="006342A3" w:rsidRPr="00FA5C03">
        <w:rPr>
          <w:rFonts w:ascii="Arial" w:hAnsi="Arial" w:cs="Arial"/>
          <w:color w:val="auto"/>
          <w:sz w:val="24"/>
          <w:szCs w:val="24"/>
        </w:rPr>
        <w:t xml:space="preserve">  </w:t>
      </w:r>
    </w:p>
    <w:p w:rsidR="00DB54C0" w:rsidRDefault="00DB54C0" w:rsidP="003B7035">
      <w:pPr>
        <w:pStyle w:val="Body"/>
        <w:ind w:left="1440" w:right="1350"/>
        <w:rPr>
          <w:rFonts w:ascii="Arial" w:hAnsi="Arial" w:cs="Arial"/>
          <w:color w:val="auto"/>
          <w:sz w:val="24"/>
          <w:szCs w:val="24"/>
        </w:rPr>
      </w:pPr>
    </w:p>
    <w:p w:rsidR="002B4080" w:rsidRDefault="002B4080" w:rsidP="008A354E">
      <w:pPr>
        <w:pStyle w:val="Body"/>
        <w:ind w:right="1350"/>
        <w:rPr>
          <w:rFonts w:ascii="Arial" w:hAnsi="Arial" w:cs="Arial"/>
          <w:b/>
          <w:color w:val="auto"/>
          <w:sz w:val="24"/>
          <w:szCs w:val="24"/>
        </w:rPr>
      </w:pPr>
    </w:p>
    <w:p w:rsidR="002B4080" w:rsidRDefault="002B4080" w:rsidP="008A354E">
      <w:pPr>
        <w:pStyle w:val="Body"/>
        <w:ind w:right="1350"/>
        <w:rPr>
          <w:rFonts w:ascii="Arial" w:hAnsi="Arial" w:cs="Arial"/>
          <w:b/>
          <w:color w:val="auto"/>
          <w:sz w:val="24"/>
          <w:szCs w:val="24"/>
        </w:rPr>
      </w:pPr>
    </w:p>
    <w:p w:rsidR="0099026A" w:rsidRDefault="0099026A" w:rsidP="008A354E">
      <w:pPr>
        <w:pStyle w:val="Body"/>
        <w:ind w:right="1350"/>
        <w:rPr>
          <w:rFonts w:ascii="Arial" w:hAnsi="Arial" w:cs="Arial"/>
          <w:b/>
          <w:color w:val="auto"/>
          <w:sz w:val="24"/>
          <w:szCs w:val="24"/>
        </w:rPr>
      </w:pPr>
    </w:p>
    <w:p w:rsidR="008A354E" w:rsidRDefault="003D06F9" w:rsidP="008A354E">
      <w:pPr>
        <w:pStyle w:val="Body"/>
        <w:ind w:right="1350"/>
        <w:rPr>
          <w:rFonts w:ascii="Arial" w:hAnsi="Arial" w:cs="Arial"/>
          <w:b/>
          <w:color w:val="auto"/>
          <w:sz w:val="24"/>
          <w:szCs w:val="24"/>
        </w:rPr>
      </w:pPr>
      <w:r>
        <w:rPr>
          <w:rFonts w:ascii="Arial" w:hAnsi="Arial" w:cs="Arial"/>
          <w:b/>
          <w:color w:val="auto"/>
          <w:sz w:val="24"/>
          <w:szCs w:val="24"/>
        </w:rPr>
        <w:lastRenderedPageBreak/>
        <w:t>So, h</w:t>
      </w:r>
      <w:r w:rsidR="00DB54C0" w:rsidRPr="00D33470">
        <w:rPr>
          <w:rFonts w:ascii="Arial" w:hAnsi="Arial" w:cs="Arial"/>
          <w:b/>
          <w:color w:val="auto"/>
          <w:sz w:val="24"/>
          <w:szCs w:val="24"/>
        </w:rPr>
        <w:t>ow vulnerable are we?</w:t>
      </w:r>
      <w:r w:rsidR="00D33470" w:rsidRPr="00D33470">
        <w:rPr>
          <w:rFonts w:ascii="Arial" w:hAnsi="Arial" w:cs="Arial"/>
          <w:b/>
          <w:color w:val="auto"/>
          <w:sz w:val="24"/>
          <w:szCs w:val="24"/>
        </w:rPr>
        <w:t xml:space="preserve">  </w:t>
      </w:r>
    </w:p>
    <w:p w:rsidR="008C484D" w:rsidRDefault="00D33470" w:rsidP="008A354E">
      <w:pPr>
        <w:pStyle w:val="Body"/>
        <w:ind w:right="1350"/>
        <w:rPr>
          <w:rFonts w:ascii="Arial" w:hAnsi="Arial" w:cs="Arial"/>
          <w:color w:val="auto"/>
          <w:sz w:val="24"/>
          <w:szCs w:val="24"/>
        </w:rPr>
      </w:pPr>
      <w:r>
        <w:rPr>
          <w:rFonts w:ascii="Arial" w:hAnsi="Arial" w:cs="Arial"/>
          <w:color w:val="auto"/>
          <w:sz w:val="24"/>
          <w:szCs w:val="24"/>
        </w:rPr>
        <w:t>Consider the variables here</w:t>
      </w:r>
      <w:r w:rsidR="008C484D">
        <w:rPr>
          <w:rFonts w:ascii="Arial" w:hAnsi="Arial" w:cs="Arial"/>
          <w:color w:val="auto"/>
          <w:sz w:val="24"/>
          <w:szCs w:val="24"/>
        </w:rPr>
        <w:t>, each of which cau</w:t>
      </w:r>
      <w:r w:rsidR="00FA5C03">
        <w:rPr>
          <w:rFonts w:ascii="Arial" w:hAnsi="Arial" w:cs="Arial"/>
          <w:color w:val="auto"/>
          <w:sz w:val="24"/>
          <w:szCs w:val="24"/>
        </w:rPr>
        <w:t>ses concern but taken together</w:t>
      </w:r>
      <w:r w:rsidR="008C484D">
        <w:rPr>
          <w:rFonts w:ascii="Arial" w:hAnsi="Arial" w:cs="Arial"/>
          <w:color w:val="auto"/>
          <w:sz w:val="24"/>
          <w:szCs w:val="24"/>
        </w:rPr>
        <w:t xml:space="preserve"> are a recipe for disaster.</w:t>
      </w:r>
    </w:p>
    <w:p w:rsidR="00A14282" w:rsidRDefault="00A14282" w:rsidP="00D33470">
      <w:pPr>
        <w:pStyle w:val="Body"/>
        <w:ind w:right="1350"/>
        <w:rPr>
          <w:rFonts w:ascii="Arial" w:hAnsi="Arial" w:cs="Arial"/>
          <w:color w:val="auto"/>
          <w:sz w:val="24"/>
          <w:szCs w:val="24"/>
        </w:rPr>
      </w:pPr>
    </w:p>
    <w:p w:rsidR="00DB54C0" w:rsidRDefault="008C484D" w:rsidP="00B508A2">
      <w:pPr>
        <w:pStyle w:val="Body"/>
        <w:numPr>
          <w:ilvl w:val="0"/>
          <w:numId w:val="5"/>
        </w:numPr>
        <w:ind w:left="1080" w:right="1350"/>
        <w:rPr>
          <w:rFonts w:ascii="Arial" w:hAnsi="Arial" w:cs="Arial"/>
          <w:color w:val="auto"/>
          <w:sz w:val="24"/>
          <w:szCs w:val="24"/>
        </w:rPr>
      </w:pPr>
      <w:r>
        <w:rPr>
          <w:rFonts w:ascii="Arial" w:hAnsi="Arial" w:cs="Arial"/>
          <w:color w:val="auto"/>
          <w:sz w:val="24"/>
          <w:szCs w:val="24"/>
          <w:u w:val="single"/>
        </w:rPr>
        <w:t>The CEI Hub is built on d</w:t>
      </w:r>
      <w:r w:rsidR="00DB54C0" w:rsidRPr="003D06F9">
        <w:rPr>
          <w:rFonts w:ascii="Arial" w:hAnsi="Arial" w:cs="Arial"/>
          <w:color w:val="auto"/>
          <w:sz w:val="24"/>
          <w:szCs w:val="24"/>
          <w:u w:val="single"/>
        </w:rPr>
        <w:t>redged soil</w:t>
      </w:r>
      <w:r>
        <w:rPr>
          <w:rFonts w:ascii="Arial" w:hAnsi="Arial" w:cs="Arial"/>
          <w:color w:val="auto"/>
          <w:sz w:val="24"/>
          <w:szCs w:val="24"/>
          <w:u w:val="single"/>
        </w:rPr>
        <w:t xml:space="preserve"> which</w:t>
      </w:r>
      <w:r w:rsidR="00A14282" w:rsidRPr="003D06F9">
        <w:rPr>
          <w:rFonts w:ascii="Arial" w:hAnsi="Arial" w:cs="Arial"/>
          <w:color w:val="auto"/>
          <w:sz w:val="24"/>
          <w:szCs w:val="24"/>
          <w:u w:val="single"/>
        </w:rPr>
        <w:t xml:space="preserve"> </w:t>
      </w:r>
      <w:r>
        <w:rPr>
          <w:rFonts w:ascii="Arial" w:hAnsi="Arial" w:cs="Arial"/>
          <w:color w:val="auto"/>
          <w:sz w:val="24"/>
          <w:szCs w:val="24"/>
          <w:u w:val="single"/>
        </w:rPr>
        <w:t xml:space="preserve">is </w:t>
      </w:r>
      <w:r w:rsidR="00A14282" w:rsidRPr="003D06F9">
        <w:rPr>
          <w:rFonts w:ascii="Arial" w:hAnsi="Arial" w:cs="Arial"/>
          <w:color w:val="auto"/>
          <w:sz w:val="24"/>
          <w:szCs w:val="24"/>
          <w:u w:val="single"/>
        </w:rPr>
        <w:t xml:space="preserve">likely to </w:t>
      </w:r>
      <w:r w:rsidR="00DB54C0" w:rsidRPr="003D06F9">
        <w:rPr>
          <w:rFonts w:ascii="Arial" w:hAnsi="Arial" w:cs="Arial"/>
          <w:color w:val="auto"/>
          <w:sz w:val="24"/>
          <w:szCs w:val="24"/>
          <w:u w:val="single"/>
        </w:rPr>
        <w:t>liquef</w:t>
      </w:r>
      <w:r w:rsidR="00A14282" w:rsidRPr="003D06F9">
        <w:rPr>
          <w:rFonts w:ascii="Arial" w:hAnsi="Arial" w:cs="Arial"/>
          <w:color w:val="auto"/>
          <w:sz w:val="24"/>
          <w:szCs w:val="24"/>
          <w:u w:val="single"/>
        </w:rPr>
        <w:t>y in a</w:t>
      </w:r>
      <w:r w:rsidR="00D33470" w:rsidRPr="003D06F9">
        <w:rPr>
          <w:rFonts w:ascii="Arial" w:hAnsi="Arial" w:cs="Arial"/>
          <w:color w:val="auto"/>
          <w:sz w:val="24"/>
          <w:szCs w:val="24"/>
          <w:u w:val="single"/>
        </w:rPr>
        <w:t>n earthquake</w:t>
      </w:r>
      <w:r>
        <w:rPr>
          <w:rFonts w:ascii="Arial" w:hAnsi="Arial" w:cs="Arial"/>
          <w:color w:val="auto"/>
          <w:sz w:val="24"/>
          <w:szCs w:val="24"/>
        </w:rPr>
        <w:t>.</w:t>
      </w:r>
      <w:r w:rsidR="00D33470">
        <w:rPr>
          <w:rFonts w:ascii="Arial" w:hAnsi="Arial" w:cs="Arial"/>
          <w:color w:val="auto"/>
          <w:sz w:val="24"/>
          <w:szCs w:val="24"/>
        </w:rPr>
        <w:t xml:space="preserve">  In OPB’s report, “the soils could become permeated with water, giving them the consistency of a sandy pudding.</w:t>
      </w:r>
      <w:r w:rsidR="001305C3">
        <w:rPr>
          <w:rFonts w:ascii="Arial" w:hAnsi="Arial" w:cs="Arial"/>
          <w:color w:val="auto"/>
          <w:sz w:val="24"/>
          <w:szCs w:val="24"/>
        </w:rPr>
        <w:t xml:space="preserve"> If that happens, it can damage buildings, tanks, and pipes.</w:t>
      </w:r>
      <w:r w:rsidR="00D33470">
        <w:rPr>
          <w:rFonts w:ascii="Arial" w:hAnsi="Arial" w:cs="Arial"/>
          <w:color w:val="auto"/>
          <w:sz w:val="24"/>
          <w:szCs w:val="24"/>
        </w:rPr>
        <w:t xml:space="preserve">”  </w:t>
      </w:r>
      <w:r w:rsidR="001305C3">
        <w:rPr>
          <w:rFonts w:ascii="Arial" w:hAnsi="Arial" w:cs="Arial"/>
          <w:color w:val="auto"/>
          <w:sz w:val="24"/>
          <w:szCs w:val="24"/>
        </w:rPr>
        <w:t>A</w:t>
      </w:r>
      <w:r w:rsidR="00A14282">
        <w:rPr>
          <w:rFonts w:ascii="Arial" w:hAnsi="Arial" w:cs="Arial"/>
          <w:color w:val="auto"/>
          <w:sz w:val="24"/>
          <w:szCs w:val="24"/>
        </w:rPr>
        <w:t xml:space="preserve"> r</w:t>
      </w:r>
      <w:r w:rsidR="00D33470">
        <w:rPr>
          <w:rFonts w:ascii="Arial" w:hAnsi="Arial" w:cs="Arial"/>
          <w:color w:val="auto"/>
          <w:sz w:val="24"/>
          <w:szCs w:val="24"/>
        </w:rPr>
        <w:t>e</w:t>
      </w:r>
      <w:r w:rsidR="00A14282">
        <w:rPr>
          <w:rFonts w:ascii="Arial" w:hAnsi="Arial" w:cs="Arial"/>
          <w:color w:val="auto"/>
          <w:sz w:val="24"/>
          <w:szCs w:val="24"/>
        </w:rPr>
        <w:t xml:space="preserve">port from the City Club of Portland, </w:t>
      </w:r>
      <w:r w:rsidR="00D33470">
        <w:rPr>
          <w:rFonts w:ascii="Arial" w:hAnsi="Arial" w:cs="Arial"/>
          <w:color w:val="auto"/>
          <w:sz w:val="24"/>
          <w:szCs w:val="24"/>
        </w:rPr>
        <w:t>“</w:t>
      </w:r>
      <w:r w:rsidR="001305C3">
        <w:rPr>
          <w:rFonts w:ascii="Arial" w:hAnsi="Arial" w:cs="Arial"/>
          <w:color w:val="auto"/>
          <w:sz w:val="24"/>
          <w:szCs w:val="24"/>
        </w:rPr>
        <w:t xml:space="preserve">Big Steps </w:t>
      </w:r>
      <w:proofErr w:type="gramStart"/>
      <w:r w:rsidR="001305C3">
        <w:rPr>
          <w:rFonts w:ascii="Arial" w:hAnsi="Arial" w:cs="Arial"/>
          <w:color w:val="auto"/>
          <w:sz w:val="24"/>
          <w:szCs w:val="24"/>
        </w:rPr>
        <w:t>Before The</w:t>
      </w:r>
      <w:proofErr w:type="gramEnd"/>
      <w:r w:rsidR="001305C3">
        <w:rPr>
          <w:rFonts w:ascii="Arial" w:hAnsi="Arial" w:cs="Arial"/>
          <w:color w:val="auto"/>
          <w:sz w:val="24"/>
          <w:szCs w:val="24"/>
        </w:rPr>
        <w:t xml:space="preserve"> Big One</w:t>
      </w:r>
      <w:r>
        <w:rPr>
          <w:rFonts w:ascii="Arial" w:hAnsi="Arial" w:cs="Arial"/>
          <w:color w:val="auto"/>
          <w:sz w:val="24"/>
          <w:szCs w:val="24"/>
        </w:rPr>
        <w:t>,</w:t>
      </w:r>
      <w:r w:rsidR="00D33470">
        <w:rPr>
          <w:rFonts w:ascii="Arial" w:hAnsi="Arial" w:cs="Arial"/>
          <w:color w:val="auto"/>
          <w:sz w:val="24"/>
          <w:szCs w:val="24"/>
        </w:rPr>
        <w:t>”</w:t>
      </w:r>
      <w:r w:rsidR="001305C3">
        <w:rPr>
          <w:rFonts w:ascii="Arial" w:hAnsi="Arial" w:cs="Arial"/>
          <w:color w:val="auto"/>
          <w:sz w:val="24"/>
          <w:szCs w:val="24"/>
        </w:rPr>
        <w:t xml:space="preserve"> echoes th</w:t>
      </w:r>
      <w:r>
        <w:rPr>
          <w:rFonts w:ascii="Arial" w:hAnsi="Arial" w:cs="Arial"/>
          <w:color w:val="auto"/>
          <w:sz w:val="24"/>
          <w:szCs w:val="24"/>
        </w:rPr>
        <w:t>at prediction.</w:t>
      </w:r>
    </w:p>
    <w:p w:rsidR="00C73DCD" w:rsidRDefault="00C73DCD" w:rsidP="00B508A2">
      <w:pPr>
        <w:pStyle w:val="Body"/>
        <w:ind w:left="1080" w:right="1350" w:hanging="360"/>
        <w:rPr>
          <w:rFonts w:ascii="Arial" w:hAnsi="Arial" w:cs="Arial"/>
          <w:color w:val="auto"/>
          <w:sz w:val="24"/>
          <w:szCs w:val="24"/>
        </w:rPr>
      </w:pPr>
    </w:p>
    <w:p w:rsidR="00DB54C0" w:rsidRDefault="00D33470" w:rsidP="00B508A2">
      <w:pPr>
        <w:pStyle w:val="Body"/>
        <w:numPr>
          <w:ilvl w:val="0"/>
          <w:numId w:val="5"/>
        </w:numPr>
        <w:ind w:left="1080" w:right="1350"/>
        <w:rPr>
          <w:rFonts w:ascii="Arial" w:hAnsi="Arial" w:cs="Arial"/>
          <w:color w:val="auto"/>
          <w:sz w:val="24"/>
          <w:szCs w:val="24"/>
        </w:rPr>
      </w:pPr>
      <w:r w:rsidRPr="003D06F9">
        <w:rPr>
          <w:rFonts w:ascii="Arial" w:hAnsi="Arial" w:cs="Arial"/>
          <w:color w:val="auto"/>
          <w:sz w:val="24"/>
          <w:szCs w:val="24"/>
          <w:u w:val="single"/>
        </w:rPr>
        <w:t>T</w:t>
      </w:r>
      <w:r w:rsidR="00DB54C0" w:rsidRPr="003D06F9">
        <w:rPr>
          <w:rFonts w:ascii="Arial" w:hAnsi="Arial" w:cs="Arial"/>
          <w:color w:val="auto"/>
          <w:sz w:val="24"/>
          <w:szCs w:val="24"/>
          <w:u w:val="single"/>
        </w:rPr>
        <w:t xml:space="preserve">anks </w:t>
      </w:r>
      <w:r w:rsidR="008C484D">
        <w:rPr>
          <w:rFonts w:ascii="Arial" w:hAnsi="Arial" w:cs="Arial"/>
          <w:color w:val="auto"/>
          <w:sz w:val="24"/>
          <w:szCs w:val="24"/>
          <w:u w:val="single"/>
        </w:rPr>
        <w:t xml:space="preserve">were </w:t>
      </w:r>
      <w:r w:rsidR="00DB54C0" w:rsidRPr="003D06F9">
        <w:rPr>
          <w:rFonts w:ascii="Arial" w:hAnsi="Arial" w:cs="Arial"/>
          <w:color w:val="auto"/>
          <w:sz w:val="24"/>
          <w:szCs w:val="24"/>
          <w:u w:val="single"/>
        </w:rPr>
        <w:t xml:space="preserve">constructed </w:t>
      </w:r>
      <w:r w:rsidRPr="003D06F9">
        <w:rPr>
          <w:rFonts w:ascii="Arial" w:hAnsi="Arial" w:cs="Arial"/>
          <w:color w:val="auto"/>
          <w:sz w:val="24"/>
          <w:szCs w:val="24"/>
          <w:u w:val="single"/>
        </w:rPr>
        <w:t>scores of year</w:t>
      </w:r>
      <w:r w:rsidR="00A14282" w:rsidRPr="003D06F9">
        <w:rPr>
          <w:rFonts w:ascii="Arial" w:hAnsi="Arial" w:cs="Arial"/>
          <w:color w:val="auto"/>
          <w:sz w:val="24"/>
          <w:szCs w:val="24"/>
          <w:u w:val="single"/>
        </w:rPr>
        <w:t>s ago</w:t>
      </w:r>
      <w:r w:rsidR="008C484D" w:rsidRPr="008C484D">
        <w:rPr>
          <w:rFonts w:ascii="Arial" w:hAnsi="Arial" w:cs="Arial"/>
          <w:color w:val="auto"/>
          <w:sz w:val="24"/>
          <w:szCs w:val="24"/>
        </w:rPr>
        <w:t xml:space="preserve">.  They date </w:t>
      </w:r>
      <w:r>
        <w:rPr>
          <w:rFonts w:ascii="Arial" w:hAnsi="Arial" w:cs="Arial"/>
          <w:color w:val="auto"/>
          <w:sz w:val="24"/>
          <w:szCs w:val="24"/>
        </w:rPr>
        <w:t>back to 1929</w:t>
      </w:r>
      <w:r w:rsidR="00A14282">
        <w:rPr>
          <w:rFonts w:ascii="Arial" w:hAnsi="Arial" w:cs="Arial"/>
          <w:color w:val="auto"/>
          <w:sz w:val="24"/>
          <w:szCs w:val="24"/>
        </w:rPr>
        <w:t>, before any modern day seismic standards were established</w:t>
      </w:r>
      <w:r w:rsidR="001305C3">
        <w:rPr>
          <w:rFonts w:ascii="Arial" w:hAnsi="Arial" w:cs="Arial"/>
          <w:color w:val="auto"/>
          <w:sz w:val="24"/>
          <w:szCs w:val="24"/>
        </w:rPr>
        <w:t xml:space="preserve">.  This heightens the risk of </w:t>
      </w:r>
      <w:r w:rsidR="00C73DCD">
        <w:rPr>
          <w:rFonts w:ascii="Arial" w:hAnsi="Arial" w:cs="Arial"/>
          <w:color w:val="auto"/>
          <w:sz w:val="24"/>
          <w:szCs w:val="24"/>
        </w:rPr>
        <w:t xml:space="preserve">their </w:t>
      </w:r>
      <w:r w:rsidR="00FA5C03">
        <w:rPr>
          <w:rFonts w:ascii="Arial" w:hAnsi="Arial" w:cs="Arial"/>
          <w:color w:val="auto"/>
          <w:sz w:val="24"/>
          <w:szCs w:val="24"/>
        </w:rPr>
        <w:t>failure during an earthquake: toppling, splitting, and exploding</w:t>
      </w:r>
      <w:r w:rsidR="00B508A2">
        <w:rPr>
          <w:rFonts w:ascii="Arial" w:hAnsi="Arial" w:cs="Arial"/>
          <w:color w:val="auto"/>
          <w:sz w:val="24"/>
          <w:szCs w:val="24"/>
        </w:rPr>
        <w:t xml:space="preserve"> are all possible</w:t>
      </w:r>
      <w:r w:rsidR="00FA5C03">
        <w:rPr>
          <w:rFonts w:ascii="Arial" w:hAnsi="Arial" w:cs="Arial"/>
          <w:color w:val="auto"/>
          <w:sz w:val="24"/>
          <w:szCs w:val="24"/>
        </w:rPr>
        <w:t>.</w:t>
      </w:r>
    </w:p>
    <w:p w:rsidR="00A14282" w:rsidRDefault="00A14282" w:rsidP="00B508A2">
      <w:pPr>
        <w:pStyle w:val="Body"/>
        <w:ind w:left="1080" w:right="1350" w:hanging="360"/>
        <w:rPr>
          <w:rFonts w:ascii="Arial" w:hAnsi="Arial" w:cs="Arial"/>
          <w:color w:val="auto"/>
          <w:sz w:val="24"/>
          <w:szCs w:val="24"/>
        </w:rPr>
      </w:pPr>
    </w:p>
    <w:p w:rsidR="00C73DCD" w:rsidRDefault="00A14282" w:rsidP="00B508A2">
      <w:pPr>
        <w:pStyle w:val="Body"/>
        <w:numPr>
          <w:ilvl w:val="0"/>
          <w:numId w:val="5"/>
        </w:numPr>
        <w:ind w:left="1080" w:right="1350"/>
        <w:rPr>
          <w:rFonts w:ascii="Arial" w:hAnsi="Arial" w:cs="Arial"/>
          <w:color w:val="auto"/>
          <w:sz w:val="24"/>
          <w:szCs w:val="24"/>
        </w:rPr>
      </w:pPr>
      <w:r w:rsidRPr="003D06F9">
        <w:rPr>
          <w:rFonts w:ascii="Arial" w:hAnsi="Arial" w:cs="Arial"/>
          <w:color w:val="auto"/>
          <w:sz w:val="24"/>
          <w:szCs w:val="24"/>
          <w:u w:val="single"/>
        </w:rPr>
        <w:t>Pipelines</w:t>
      </w:r>
      <w:r w:rsidR="003D06F9">
        <w:rPr>
          <w:rFonts w:ascii="Arial" w:hAnsi="Arial" w:cs="Arial"/>
          <w:color w:val="auto"/>
          <w:sz w:val="24"/>
          <w:szCs w:val="24"/>
          <w:u w:val="single"/>
        </w:rPr>
        <w:t xml:space="preserve"> </w:t>
      </w:r>
      <w:r w:rsidR="008C484D">
        <w:rPr>
          <w:rFonts w:ascii="Arial" w:hAnsi="Arial" w:cs="Arial"/>
          <w:color w:val="auto"/>
          <w:sz w:val="24"/>
          <w:szCs w:val="24"/>
          <w:u w:val="single"/>
        </w:rPr>
        <w:t xml:space="preserve">are </w:t>
      </w:r>
      <w:r w:rsidR="003D06F9">
        <w:rPr>
          <w:rFonts w:ascii="Arial" w:hAnsi="Arial" w:cs="Arial"/>
          <w:color w:val="auto"/>
          <w:sz w:val="24"/>
          <w:szCs w:val="24"/>
          <w:u w:val="single"/>
        </w:rPr>
        <w:t xml:space="preserve">projected to suffer </w:t>
      </w:r>
      <w:r w:rsidR="00FA5C03">
        <w:rPr>
          <w:rFonts w:ascii="Arial" w:hAnsi="Arial" w:cs="Arial"/>
          <w:color w:val="auto"/>
          <w:sz w:val="24"/>
          <w:szCs w:val="24"/>
          <w:u w:val="single"/>
        </w:rPr>
        <w:t xml:space="preserve">hundreds of </w:t>
      </w:r>
      <w:r w:rsidR="003D06F9">
        <w:rPr>
          <w:rFonts w:ascii="Arial" w:hAnsi="Arial" w:cs="Arial"/>
          <w:color w:val="auto"/>
          <w:sz w:val="24"/>
          <w:szCs w:val="24"/>
          <w:u w:val="single"/>
        </w:rPr>
        <w:t xml:space="preserve">breaks </w:t>
      </w:r>
      <w:r w:rsidR="008C484D">
        <w:rPr>
          <w:rFonts w:ascii="Arial" w:hAnsi="Arial" w:cs="Arial"/>
          <w:color w:val="auto"/>
          <w:sz w:val="24"/>
          <w:szCs w:val="24"/>
          <w:u w:val="single"/>
        </w:rPr>
        <w:t xml:space="preserve">and </w:t>
      </w:r>
      <w:r w:rsidR="00FA5C03">
        <w:rPr>
          <w:rFonts w:ascii="Arial" w:hAnsi="Arial" w:cs="Arial"/>
          <w:color w:val="auto"/>
          <w:sz w:val="24"/>
          <w:szCs w:val="24"/>
          <w:u w:val="single"/>
        </w:rPr>
        <w:t xml:space="preserve">scores of </w:t>
      </w:r>
      <w:r w:rsidRPr="003D06F9">
        <w:rPr>
          <w:rFonts w:ascii="Arial" w:hAnsi="Arial" w:cs="Arial"/>
          <w:color w:val="auto"/>
          <w:sz w:val="24"/>
          <w:szCs w:val="24"/>
          <w:u w:val="single"/>
        </w:rPr>
        <w:t>leaks</w:t>
      </w:r>
      <w:r>
        <w:rPr>
          <w:rFonts w:ascii="Arial" w:hAnsi="Arial" w:cs="Arial"/>
          <w:color w:val="auto"/>
          <w:sz w:val="24"/>
          <w:szCs w:val="24"/>
        </w:rPr>
        <w:t>.  How effective will the</w:t>
      </w:r>
      <w:r w:rsidR="00FA5C03">
        <w:rPr>
          <w:rFonts w:ascii="Arial" w:hAnsi="Arial" w:cs="Arial"/>
          <w:color w:val="auto"/>
          <w:sz w:val="24"/>
          <w:szCs w:val="24"/>
        </w:rPr>
        <w:t xml:space="preserve"> current</w:t>
      </w:r>
      <w:r>
        <w:rPr>
          <w:rFonts w:ascii="Arial" w:hAnsi="Arial" w:cs="Arial"/>
          <w:color w:val="auto"/>
          <w:sz w:val="24"/>
          <w:szCs w:val="24"/>
        </w:rPr>
        <w:t xml:space="preserve"> remediation efforts of operators </w:t>
      </w:r>
      <w:r w:rsidR="001305C3">
        <w:rPr>
          <w:rFonts w:ascii="Arial" w:hAnsi="Arial" w:cs="Arial"/>
          <w:color w:val="auto"/>
          <w:sz w:val="24"/>
          <w:szCs w:val="24"/>
        </w:rPr>
        <w:t>be</w:t>
      </w:r>
      <w:r w:rsidR="003E465A">
        <w:rPr>
          <w:rFonts w:ascii="Arial" w:hAnsi="Arial" w:cs="Arial"/>
          <w:color w:val="auto"/>
          <w:sz w:val="24"/>
          <w:szCs w:val="24"/>
        </w:rPr>
        <w:t xml:space="preserve">? These </w:t>
      </w:r>
      <w:r w:rsidR="00B508A2">
        <w:rPr>
          <w:rFonts w:ascii="Arial" w:hAnsi="Arial" w:cs="Arial"/>
          <w:color w:val="auto"/>
          <w:sz w:val="24"/>
          <w:szCs w:val="24"/>
        </w:rPr>
        <w:t xml:space="preserve">efforts </w:t>
      </w:r>
      <w:r w:rsidR="003E465A">
        <w:rPr>
          <w:rFonts w:ascii="Arial" w:hAnsi="Arial" w:cs="Arial"/>
          <w:color w:val="auto"/>
          <w:sz w:val="24"/>
          <w:szCs w:val="24"/>
        </w:rPr>
        <w:t>include remotely operated valves, check valves, enhanced leak detection systems, and increased surveillance.</w:t>
      </w:r>
    </w:p>
    <w:p w:rsidR="00DB54C0" w:rsidRDefault="00DB54C0" w:rsidP="00B508A2">
      <w:pPr>
        <w:pStyle w:val="Body"/>
        <w:ind w:left="1080" w:right="1350" w:hanging="360"/>
        <w:rPr>
          <w:rFonts w:ascii="Arial" w:hAnsi="Arial" w:cs="Arial"/>
          <w:color w:val="auto"/>
          <w:sz w:val="24"/>
          <w:szCs w:val="24"/>
        </w:rPr>
      </w:pPr>
    </w:p>
    <w:p w:rsidR="00F2206B" w:rsidRDefault="00F2206B" w:rsidP="00B508A2">
      <w:pPr>
        <w:pStyle w:val="Body"/>
        <w:numPr>
          <w:ilvl w:val="0"/>
          <w:numId w:val="5"/>
        </w:numPr>
        <w:ind w:left="1080" w:right="1350"/>
        <w:rPr>
          <w:rFonts w:ascii="Arial" w:hAnsi="Arial" w:cs="Arial"/>
          <w:color w:val="auto"/>
          <w:sz w:val="24"/>
          <w:szCs w:val="24"/>
        </w:rPr>
      </w:pPr>
      <w:r w:rsidRPr="003D06F9">
        <w:rPr>
          <w:rFonts w:ascii="Arial" w:hAnsi="Arial" w:cs="Arial"/>
          <w:color w:val="auto"/>
          <w:sz w:val="24"/>
          <w:szCs w:val="24"/>
          <w:u w:val="single"/>
        </w:rPr>
        <w:t>Geologic</w:t>
      </w:r>
      <w:r w:rsidR="00D33470" w:rsidRPr="003D06F9">
        <w:rPr>
          <w:rFonts w:ascii="Arial" w:hAnsi="Arial" w:cs="Arial"/>
          <w:color w:val="auto"/>
          <w:sz w:val="24"/>
          <w:szCs w:val="24"/>
          <w:u w:val="single"/>
        </w:rPr>
        <w:t xml:space="preserve"> fault structure</w:t>
      </w:r>
      <w:r w:rsidRPr="003D06F9">
        <w:rPr>
          <w:rFonts w:ascii="Arial" w:hAnsi="Arial" w:cs="Arial"/>
          <w:color w:val="auto"/>
          <w:sz w:val="24"/>
          <w:szCs w:val="24"/>
          <w:u w:val="single"/>
        </w:rPr>
        <w:t xml:space="preserve"> </w:t>
      </w:r>
      <w:r w:rsidR="003E465A">
        <w:rPr>
          <w:rFonts w:ascii="Arial" w:hAnsi="Arial" w:cs="Arial"/>
          <w:color w:val="auto"/>
          <w:sz w:val="24"/>
          <w:szCs w:val="24"/>
          <w:u w:val="single"/>
        </w:rPr>
        <w:t>and the</w:t>
      </w:r>
      <w:r w:rsidR="00C73DCD" w:rsidRPr="003D06F9">
        <w:rPr>
          <w:rFonts w:ascii="Arial" w:hAnsi="Arial" w:cs="Arial"/>
          <w:color w:val="auto"/>
          <w:sz w:val="24"/>
          <w:szCs w:val="24"/>
          <w:u w:val="single"/>
        </w:rPr>
        <w:t xml:space="preserve"> activity </w:t>
      </w:r>
      <w:r w:rsidRPr="003D06F9">
        <w:rPr>
          <w:rFonts w:ascii="Arial" w:hAnsi="Arial" w:cs="Arial"/>
          <w:color w:val="auto"/>
          <w:sz w:val="24"/>
          <w:szCs w:val="24"/>
          <w:u w:val="single"/>
        </w:rPr>
        <w:t>of the Juan de Fuca plate</w:t>
      </w:r>
      <w:r w:rsidR="003E465A">
        <w:rPr>
          <w:rFonts w:ascii="Arial" w:hAnsi="Arial" w:cs="Arial"/>
          <w:color w:val="auto"/>
          <w:sz w:val="24"/>
          <w:szCs w:val="24"/>
          <w:u w:val="single"/>
        </w:rPr>
        <w:t xml:space="preserve"> have been studied by experts</w:t>
      </w:r>
      <w:r w:rsidR="00C73DCD">
        <w:rPr>
          <w:rFonts w:ascii="Arial" w:hAnsi="Arial" w:cs="Arial"/>
          <w:color w:val="auto"/>
          <w:sz w:val="24"/>
          <w:szCs w:val="24"/>
        </w:rPr>
        <w:t>.  T</w:t>
      </w:r>
      <w:r>
        <w:rPr>
          <w:rFonts w:ascii="Arial" w:hAnsi="Arial" w:cs="Arial"/>
          <w:color w:val="auto"/>
          <w:sz w:val="24"/>
          <w:szCs w:val="24"/>
        </w:rPr>
        <w:t>he</w:t>
      </w:r>
      <w:r w:rsidR="003E465A">
        <w:rPr>
          <w:rFonts w:ascii="Arial" w:hAnsi="Arial" w:cs="Arial"/>
          <w:color w:val="auto"/>
          <w:sz w:val="24"/>
          <w:szCs w:val="24"/>
        </w:rPr>
        <w:t>y state the</w:t>
      </w:r>
      <w:r>
        <w:rPr>
          <w:rFonts w:ascii="Arial" w:hAnsi="Arial" w:cs="Arial"/>
          <w:color w:val="auto"/>
          <w:sz w:val="24"/>
          <w:szCs w:val="24"/>
        </w:rPr>
        <w:t>re is a 15% probability of a whole margin subduction event in the next 50 years, and this figure jumps to 37% for a southern margin subduction event.</w:t>
      </w:r>
      <w:r w:rsidR="003D06F9">
        <w:rPr>
          <w:rFonts w:ascii="Arial" w:hAnsi="Arial" w:cs="Arial"/>
          <w:color w:val="auto"/>
          <w:sz w:val="24"/>
          <w:szCs w:val="24"/>
        </w:rPr>
        <w:t xml:space="preserve">  Predictions of </w:t>
      </w:r>
      <w:r w:rsidR="00FA5C03">
        <w:rPr>
          <w:rFonts w:ascii="Arial" w:hAnsi="Arial" w:cs="Arial"/>
          <w:color w:val="auto"/>
          <w:sz w:val="24"/>
          <w:szCs w:val="24"/>
        </w:rPr>
        <w:t>destruction</w:t>
      </w:r>
      <w:r w:rsidR="003D06F9">
        <w:rPr>
          <w:rFonts w:ascii="Arial" w:hAnsi="Arial" w:cs="Arial"/>
          <w:color w:val="auto"/>
          <w:sz w:val="24"/>
          <w:szCs w:val="24"/>
        </w:rPr>
        <w:t xml:space="preserve"> </w:t>
      </w:r>
      <w:r w:rsidR="00855BD1">
        <w:rPr>
          <w:rFonts w:ascii="Arial" w:hAnsi="Arial" w:cs="Arial"/>
          <w:color w:val="auto"/>
          <w:sz w:val="24"/>
          <w:szCs w:val="24"/>
        </w:rPr>
        <w:t>are huge</w:t>
      </w:r>
      <w:r w:rsidR="003E465A">
        <w:rPr>
          <w:rFonts w:ascii="Arial" w:hAnsi="Arial" w:cs="Arial"/>
          <w:color w:val="auto"/>
          <w:sz w:val="24"/>
          <w:szCs w:val="24"/>
        </w:rPr>
        <w:t>:</w:t>
      </w:r>
      <w:r w:rsidR="00B508A2">
        <w:rPr>
          <w:rFonts w:ascii="Arial" w:hAnsi="Arial" w:cs="Arial"/>
          <w:color w:val="auto"/>
          <w:sz w:val="24"/>
          <w:szCs w:val="24"/>
        </w:rPr>
        <w:t xml:space="preserve"> 15 of 17 bridges, 1 out of every 3 fire stations, </w:t>
      </w:r>
      <w:proofErr w:type="gramStart"/>
      <w:r w:rsidR="00B508A2">
        <w:rPr>
          <w:rFonts w:ascii="Arial" w:hAnsi="Arial" w:cs="Arial"/>
          <w:color w:val="auto"/>
          <w:sz w:val="24"/>
          <w:szCs w:val="24"/>
        </w:rPr>
        <w:t>1</w:t>
      </w:r>
      <w:proofErr w:type="gramEnd"/>
      <w:r w:rsidR="00B508A2">
        <w:rPr>
          <w:rFonts w:ascii="Arial" w:hAnsi="Arial" w:cs="Arial"/>
          <w:color w:val="auto"/>
          <w:sz w:val="24"/>
          <w:szCs w:val="24"/>
        </w:rPr>
        <w:t xml:space="preserve"> of every 2 police stations, 2 out of </w:t>
      </w:r>
      <w:r w:rsidR="00855BD1">
        <w:rPr>
          <w:rFonts w:ascii="Arial" w:hAnsi="Arial" w:cs="Arial"/>
          <w:color w:val="auto"/>
          <w:sz w:val="24"/>
          <w:szCs w:val="24"/>
        </w:rPr>
        <w:t xml:space="preserve">3 hospitals, </w:t>
      </w:r>
      <w:r w:rsidR="003E465A">
        <w:rPr>
          <w:rFonts w:ascii="Arial" w:hAnsi="Arial" w:cs="Arial"/>
          <w:color w:val="auto"/>
          <w:sz w:val="24"/>
          <w:szCs w:val="24"/>
        </w:rPr>
        <w:t xml:space="preserve">and </w:t>
      </w:r>
      <w:r w:rsidR="00855BD1">
        <w:rPr>
          <w:rFonts w:ascii="Arial" w:hAnsi="Arial" w:cs="Arial"/>
          <w:color w:val="auto"/>
          <w:sz w:val="24"/>
          <w:szCs w:val="24"/>
        </w:rPr>
        <w:t>3000 schools</w:t>
      </w:r>
      <w:r w:rsidR="00FA5C03">
        <w:rPr>
          <w:rFonts w:ascii="Arial" w:hAnsi="Arial" w:cs="Arial"/>
          <w:color w:val="auto"/>
          <w:sz w:val="24"/>
          <w:szCs w:val="24"/>
        </w:rPr>
        <w:t>,</w:t>
      </w:r>
      <w:r w:rsidR="00855BD1">
        <w:rPr>
          <w:rFonts w:ascii="Arial" w:hAnsi="Arial" w:cs="Arial"/>
          <w:color w:val="auto"/>
          <w:sz w:val="24"/>
          <w:szCs w:val="24"/>
        </w:rPr>
        <w:t xml:space="preserve"> according to Scott Burns</w:t>
      </w:r>
      <w:r w:rsidR="00FA5C03">
        <w:rPr>
          <w:rFonts w:ascii="Arial" w:hAnsi="Arial" w:cs="Arial"/>
          <w:color w:val="auto"/>
          <w:sz w:val="24"/>
          <w:szCs w:val="24"/>
        </w:rPr>
        <w:t>, PSU seismic geologist.  F</w:t>
      </w:r>
      <w:r w:rsidR="003E465A">
        <w:rPr>
          <w:rFonts w:ascii="Arial" w:hAnsi="Arial" w:cs="Arial"/>
          <w:color w:val="auto"/>
          <w:sz w:val="24"/>
          <w:szCs w:val="24"/>
        </w:rPr>
        <w:t xml:space="preserve">ollowing a major seismic event </w:t>
      </w:r>
      <w:r w:rsidR="00FA5C03">
        <w:rPr>
          <w:rFonts w:ascii="Arial" w:hAnsi="Arial" w:cs="Arial"/>
          <w:color w:val="auto"/>
          <w:sz w:val="24"/>
          <w:szCs w:val="24"/>
        </w:rPr>
        <w:t>there will be</w:t>
      </w:r>
      <w:r w:rsidR="003E465A">
        <w:rPr>
          <w:rFonts w:ascii="Arial" w:hAnsi="Arial" w:cs="Arial"/>
          <w:color w:val="auto"/>
          <w:sz w:val="24"/>
          <w:szCs w:val="24"/>
        </w:rPr>
        <w:t xml:space="preserve"> </w:t>
      </w:r>
      <w:r w:rsidR="00855BD1">
        <w:rPr>
          <w:rFonts w:ascii="Arial" w:hAnsi="Arial" w:cs="Arial"/>
          <w:color w:val="auto"/>
          <w:sz w:val="24"/>
          <w:szCs w:val="24"/>
        </w:rPr>
        <w:t>no electricity for 1-3 months, no water for 1 month, no sewer or highways for 6 months, and taxpa</w:t>
      </w:r>
      <w:r w:rsidR="008A354E">
        <w:rPr>
          <w:rFonts w:ascii="Arial" w:hAnsi="Arial" w:cs="Arial"/>
          <w:color w:val="auto"/>
          <w:sz w:val="24"/>
          <w:szCs w:val="24"/>
        </w:rPr>
        <w:t>y</w:t>
      </w:r>
      <w:r w:rsidR="00855BD1">
        <w:rPr>
          <w:rFonts w:ascii="Arial" w:hAnsi="Arial" w:cs="Arial"/>
          <w:color w:val="auto"/>
          <w:sz w:val="24"/>
          <w:szCs w:val="24"/>
        </w:rPr>
        <w:t xml:space="preserve">ers </w:t>
      </w:r>
      <w:r w:rsidR="003E465A">
        <w:rPr>
          <w:rFonts w:ascii="Arial" w:hAnsi="Arial" w:cs="Arial"/>
          <w:color w:val="auto"/>
          <w:sz w:val="24"/>
          <w:szCs w:val="24"/>
        </w:rPr>
        <w:t>will pay 75% of the cost.</w:t>
      </w:r>
      <w:r w:rsidR="00855BD1">
        <w:rPr>
          <w:rFonts w:ascii="Arial" w:hAnsi="Arial" w:cs="Arial"/>
          <w:color w:val="auto"/>
          <w:sz w:val="24"/>
          <w:szCs w:val="24"/>
        </w:rPr>
        <w:t xml:space="preserve">  The New Yorker </w:t>
      </w:r>
      <w:r w:rsidR="008A354E">
        <w:rPr>
          <w:rFonts w:ascii="Arial" w:hAnsi="Arial" w:cs="Arial"/>
          <w:color w:val="auto"/>
          <w:sz w:val="24"/>
          <w:szCs w:val="24"/>
        </w:rPr>
        <w:t xml:space="preserve">predicts the devastation in detail at </w:t>
      </w:r>
      <w:r w:rsidR="00855BD1" w:rsidRPr="008A354E">
        <w:rPr>
          <w:rFonts w:ascii="Arial" w:hAnsi="Arial" w:cs="Arial"/>
          <w:color w:val="auto"/>
          <w:sz w:val="24"/>
          <w:szCs w:val="24"/>
          <w:u w:val="single"/>
        </w:rPr>
        <w:t>https://www.newyorker.com/magazine/2015/07/20/the-really-big-one</w:t>
      </w:r>
    </w:p>
    <w:p w:rsidR="00DB54C0" w:rsidRDefault="00DB54C0" w:rsidP="00B508A2">
      <w:pPr>
        <w:pStyle w:val="Body"/>
        <w:ind w:left="1080" w:right="1350" w:hanging="360"/>
        <w:rPr>
          <w:rFonts w:ascii="Arial" w:hAnsi="Arial" w:cs="Arial"/>
          <w:color w:val="auto"/>
          <w:sz w:val="24"/>
          <w:szCs w:val="24"/>
        </w:rPr>
      </w:pPr>
    </w:p>
    <w:p w:rsidR="00DB54C0" w:rsidRDefault="003E465A" w:rsidP="00B508A2">
      <w:pPr>
        <w:pStyle w:val="Body"/>
        <w:numPr>
          <w:ilvl w:val="0"/>
          <w:numId w:val="5"/>
        </w:numPr>
        <w:ind w:left="1080" w:right="1350"/>
        <w:rPr>
          <w:rFonts w:ascii="Arial" w:hAnsi="Arial" w:cs="Arial"/>
          <w:color w:val="auto"/>
          <w:sz w:val="24"/>
          <w:szCs w:val="24"/>
        </w:rPr>
      </w:pPr>
      <w:r>
        <w:rPr>
          <w:rFonts w:ascii="Arial" w:hAnsi="Arial" w:cs="Arial"/>
          <w:color w:val="auto"/>
          <w:sz w:val="24"/>
          <w:szCs w:val="24"/>
          <w:u w:val="single"/>
        </w:rPr>
        <w:t>Structures which are</w:t>
      </w:r>
      <w:r w:rsidR="00C73DCD" w:rsidRPr="008A354E">
        <w:rPr>
          <w:rFonts w:ascii="Arial" w:hAnsi="Arial" w:cs="Arial"/>
          <w:color w:val="auto"/>
          <w:sz w:val="24"/>
          <w:szCs w:val="24"/>
          <w:u w:val="single"/>
        </w:rPr>
        <w:t xml:space="preserve"> responsible for gasoline, diesel, jet fuel, and electricity</w:t>
      </w:r>
      <w:r>
        <w:rPr>
          <w:rFonts w:ascii="Arial" w:hAnsi="Arial" w:cs="Arial"/>
          <w:color w:val="auto"/>
          <w:sz w:val="24"/>
          <w:szCs w:val="24"/>
          <w:u w:val="single"/>
        </w:rPr>
        <w:t xml:space="preserve"> are located in close proximity</w:t>
      </w:r>
      <w:r w:rsidR="00C73DCD">
        <w:rPr>
          <w:rFonts w:ascii="Arial" w:hAnsi="Arial" w:cs="Arial"/>
          <w:color w:val="auto"/>
          <w:sz w:val="24"/>
          <w:szCs w:val="24"/>
        </w:rPr>
        <w:t>.</w:t>
      </w:r>
      <w:r w:rsidR="00B508A2">
        <w:rPr>
          <w:rFonts w:ascii="Arial" w:hAnsi="Arial" w:cs="Arial"/>
          <w:color w:val="auto"/>
          <w:sz w:val="24"/>
          <w:szCs w:val="24"/>
        </w:rPr>
        <w:t xml:space="preserve">  The e</w:t>
      </w:r>
      <w:r w:rsidR="008A354E">
        <w:rPr>
          <w:rFonts w:ascii="Arial" w:hAnsi="Arial" w:cs="Arial"/>
          <w:color w:val="auto"/>
          <w:sz w:val="24"/>
          <w:szCs w:val="24"/>
        </w:rPr>
        <w:t>nergy required</w:t>
      </w:r>
      <w:r w:rsidR="006342A3">
        <w:rPr>
          <w:rFonts w:ascii="Arial" w:hAnsi="Arial" w:cs="Arial"/>
          <w:color w:val="auto"/>
          <w:sz w:val="24"/>
          <w:szCs w:val="24"/>
        </w:rPr>
        <w:t xml:space="preserve"> for</w:t>
      </w:r>
      <w:r>
        <w:rPr>
          <w:rFonts w:ascii="Arial" w:hAnsi="Arial" w:cs="Arial"/>
          <w:color w:val="auto"/>
          <w:sz w:val="24"/>
          <w:szCs w:val="24"/>
        </w:rPr>
        <w:t xml:space="preserve"> disaster recovery will be high.   R</w:t>
      </w:r>
      <w:r w:rsidR="006342A3">
        <w:rPr>
          <w:rFonts w:ascii="Arial" w:hAnsi="Arial" w:cs="Arial"/>
          <w:color w:val="auto"/>
          <w:sz w:val="24"/>
          <w:szCs w:val="24"/>
        </w:rPr>
        <w:t xml:space="preserve">esiliency will be </w:t>
      </w:r>
      <w:r w:rsidR="008A354E">
        <w:rPr>
          <w:rFonts w:ascii="Arial" w:hAnsi="Arial" w:cs="Arial"/>
          <w:color w:val="auto"/>
          <w:sz w:val="24"/>
          <w:szCs w:val="24"/>
        </w:rPr>
        <w:t>inversely</w:t>
      </w:r>
      <w:r w:rsidR="006342A3">
        <w:rPr>
          <w:rFonts w:ascii="Arial" w:hAnsi="Arial" w:cs="Arial"/>
          <w:color w:val="auto"/>
          <w:sz w:val="24"/>
          <w:szCs w:val="24"/>
        </w:rPr>
        <w:t xml:space="preserve"> </w:t>
      </w:r>
      <w:r>
        <w:rPr>
          <w:rFonts w:ascii="Arial" w:hAnsi="Arial" w:cs="Arial"/>
          <w:color w:val="auto"/>
          <w:sz w:val="24"/>
          <w:szCs w:val="24"/>
        </w:rPr>
        <w:t>proportional due</w:t>
      </w:r>
      <w:r w:rsidR="008A354E">
        <w:rPr>
          <w:rFonts w:ascii="Arial" w:hAnsi="Arial" w:cs="Arial"/>
          <w:color w:val="auto"/>
          <w:sz w:val="24"/>
          <w:szCs w:val="24"/>
        </w:rPr>
        <w:t xml:space="preserve"> </w:t>
      </w:r>
      <w:r>
        <w:rPr>
          <w:rFonts w:ascii="Arial" w:hAnsi="Arial" w:cs="Arial"/>
          <w:color w:val="auto"/>
          <w:sz w:val="24"/>
          <w:szCs w:val="24"/>
        </w:rPr>
        <w:t xml:space="preserve">to impaired infrastructure for </w:t>
      </w:r>
      <w:r w:rsidR="00B508A2">
        <w:rPr>
          <w:rFonts w:ascii="Arial" w:hAnsi="Arial" w:cs="Arial"/>
          <w:color w:val="auto"/>
          <w:sz w:val="24"/>
          <w:szCs w:val="24"/>
        </w:rPr>
        <w:t xml:space="preserve">these key resources: </w:t>
      </w:r>
      <w:r w:rsidR="008A354E">
        <w:rPr>
          <w:rFonts w:ascii="Arial" w:hAnsi="Arial" w:cs="Arial"/>
          <w:color w:val="auto"/>
          <w:sz w:val="24"/>
          <w:szCs w:val="24"/>
        </w:rPr>
        <w:t>energy, communication, and transportation.</w:t>
      </w:r>
    </w:p>
    <w:p w:rsidR="00DB54C0" w:rsidRDefault="00DB54C0" w:rsidP="00B508A2">
      <w:pPr>
        <w:pStyle w:val="Body"/>
        <w:ind w:left="1080" w:right="1350" w:hanging="360"/>
        <w:rPr>
          <w:rFonts w:ascii="Arial" w:hAnsi="Arial" w:cs="Arial"/>
          <w:color w:val="auto"/>
          <w:sz w:val="24"/>
          <w:szCs w:val="24"/>
        </w:rPr>
      </w:pPr>
    </w:p>
    <w:p w:rsidR="008A354E" w:rsidRDefault="008A354E" w:rsidP="00DB54C0">
      <w:pPr>
        <w:pStyle w:val="Body"/>
        <w:ind w:right="1350"/>
        <w:rPr>
          <w:rFonts w:ascii="Arial" w:hAnsi="Arial" w:cs="Arial"/>
          <w:b/>
          <w:color w:val="auto"/>
          <w:sz w:val="24"/>
          <w:szCs w:val="24"/>
        </w:rPr>
      </w:pPr>
      <w:r>
        <w:rPr>
          <w:rFonts w:ascii="Arial" w:hAnsi="Arial" w:cs="Arial"/>
          <w:b/>
          <w:color w:val="auto"/>
          <w:sz w:val="24"/>
          <w:szCs w:val="24"/>
        </w:rPr>
        <w:t>What should we do?</w:t>
      </w:r>
    </w:p>
    <w:p w:rsidR="0099026A" w:rsidRDefault="00DB54C0" w:rsidP="00DB54C0">
      <w:pPr>
        <w:pStyle w:val="Body"/>
        <w:ind w:right="1350"/>
        <w:rPr>
          <w:rFonts w:ascii="Arial" w:hAnsi="Arial" w:cs="Arial"/>
          <w:color w:val="auto"/>
          <w:sz w:val="24"/>
          <w:szCs w:val="24"/>
        </w:rPr>
      </w:pPr>
      <w:r>
        <w:rPr>
          <w:rFonts w:ascii="Arial" w:hAnsi="Arial" w:cs="Arial"/>
          <w:color w:val="auto"/>
          <w:sz w:val="24"/>
          <w:szCs w:val="24"/>
        </w:rPr>
        <w:t xml:space="preserve">This is not a </w:t>
      </w:r>
      <w:r w:rsidR="00B508A2">
        <w:rPr>
          <w:rFonts w:ascii="Arial" w:hAnsi="Arial" w:cs="Arial"/>
          <w:color w:val="auto"/>
          <w:sz w:val="24"/>
          <w:szCs w:val="24"/>
        </w:rPr>
        <w:t>NIMBY (</w:t>
      </w:r>
      <w:r>
        <w:rPr>
          <w:rFonts w:ascii="Arial" w:hAnsi="Arial" w:cs="Arial"/>
          <w:color w:val="auto"/>
          <w:sz w:val="24"/>
          <w:szCs w:val="24"/>
        </w:rPr>
        <w:t>“</w:t>
      </w:r>
      <w:r w:rsidR="008A354E">
        <w:rPr>
          <w:rFonts w:ascii="Arial" w:hAnsi="Arial" w:cs="Arial"/>
          <w:color w:val="auto"/>
          <w:sz w:val="24"/>
          <w:szCs w:val="24"/>
        </w:rPr>
        <w:t>not in my backyard”</w:t>
      </w:r>
      <w:r w:rsidR="00B508A2">
        <w:rPr>
          <w:rFonts w:ascii="Arial" w:hAnsi="Arial" w:cs="Arial"/>
          <w:color w:val="auto"/>
          <w:sz w:val="24"/>
          <w:szCs w:val="24"/>
        </w:rPr>
        <w:t>)</w:t>
      </w:r>
      <w:r w:rsidR="003E465A">
        <w:rPr>
          <w:rFonts w:ascii="Arial" w:hAnsi="Arial" w:cs="Arial"/>
          <w:color w:val="auto"/>
          <w:sz w:val="24"/>
          <w:szCs w:val="24"/>
        </w:rPr>
        <w:t xml:space="preserve"> position.  E</w:t>
      </w:r>
      <w:r w:rsidR="006342A3">
        <w:rPr>
          <w:rFonts w:ascii="Arial" w:hAnsi="Arial" w:cs="Arial"/>
          <w:color w:val="auto"/>
          <w:sz w:val="24"/>
          <w:szCs w:val="24"/>
        </w:rPr>
        <w:t>nergy</w:t>
      </w:r>
      <w:r>
        <w:rPr>
          <w:rFonts w:ascii="Arial" w:hAnsi="Arial" w:cs="Arial"/>
          <w:color w:val="auto"/>
          <w:sz w:val="24"/>
          <w:szCs w:val="24"/>
        </w:rPr>
        <w:t xml:space="preserve"> </w:t>
      </w:r>
      <w:r w:rsidR="008A354E">
        <w:rPr>
          <w:rFonts w:ascii="Arial" w:hAnsi="Arial" w:cs="Arial"/>
          <w:color w:val="auto"/>
          <w:sz w:val="24"/>
          <w:szCs w:val="24"/>
        </w:rPr>
        <w:t xml:space="preserve">sources </w:t>
      </w:r>
      <w:r>
        <w:rPr>
          <w:rFonts w:ascii="Arial" w:hAnsi="Arial" w:cs="Arial"/>
          <w:color w:val="auto"/>
          <w:sz w:val="24"/>
          <w:szCs w:val="24"/>
        </w:rPr>
        <w:t xml:space="preserve">should not be centralized </w:t>
      </w:r>
      <w:r w:rsidR="003E465A">
        <w:rPr>
          <w:rFonts w:ascii="Arial" w:hAnsi="Arial" w:cs="Arial"/>
          <w:color w:val="auto"/>
          <w:sz w:val="24"/>
          <w:szCs w:val="24"/>
        </w:rPr>
        <w:t>in a</w:t>
      </w:r>
      <w:r w:rsidR="00B508A2">
        <w:rPr>
          <w:rFonts w:ascii="Arial" w:hAnsi="Arial" w:cs="Arial"/>
          <w:color w:val="auto"/>
          <w:sz w:val="24"/>
          <w:szCs w:val="24"/>
        </w:rPr>
        <w:t>ny</w:t>
      </w:r>
      <w:r w:rsidR="003E465A">
        <w:rPr>
          <w:rFonts w:ascii="Arial" w:hAnsi="Arial" w:cs="Arial"/>
          <w:color w:val="auto"/>
          <w:sz w:val="24"/>
          <w:szCs w:val="24"/>
        </w:rPr>
        <w:t xml:space="preserve"> singular location, </w:t>
      </w:r>
      <w:r w:rsidR="00B508A2">
        <w:rPr>
          <w:rFonts w:ascii="Arial" w:hAnsi="Arial" w:cs="Arial"/>
          <w:color w:val="auto"/>
          <w:sz w:val="24"/>
          <w:szCs w:val="24"/>
        </w:rPr>
        <w:t xml:space="preserve">but </w:t>
      </w:r>
      <w:r w:rsidR="003E465A">
        <w:rPr>
          <w:rFonts w:ascii="Arial" w:hAnsi="Arial" w:cs="Arial"/>
          <w:color w:val="auto"/>
          <w:sz w:val="24"/>
          <w:szCs w:val="24"/>
        </w:rPr>
        <w:t xml:space="preserve">especially </w:t>
      </w:r>
      <w:r w:rsidR="00B508A2">
        <w:rPr>
          <w:rFonts w:ascii="Arial" w:hAnsi="Arial" w:cs="Arial"/>
          <w:color w:val="auto"/>
          <w:sz w:val="24"/>
          <w:szCs w:val="24"/>
        </w:rPr>
        <w:t xml:space="preserve">not in </w:t>
      </w:r>
      <w:r w:rsidR="003E465A">
        <w:rPr>
          <w:rFonts w:ascii="Arial" w:hAnsi="Arial" w:cs="Arial"/>
          <w:color w:val="auto"/>
          <w:sz w:val="24"/>
          <w:szCs w:val="24"/>
        </w:rPr>
        <w:t xml:space="preserve">one that is unstable and hazardous.  </w:t>
      </w:r>
      <w:r w:rsidR="00617CDF">
        <w:rPr>
          <w:rFonts w:ascii="Arial" w:hAnsi="Arial" w:cs="Arial"/>
          <w:color w:val="auto"/>
          <w:sz w:val="24"/>
          <w:szCs w:val="24"/>
        </w:rPr>
        <w:t xml:space="preserve">Not only </w:t>
      </w:r>
      <w:r w:rsidR="00FA5C03">
        <w:rPr>
          <w:rFonts w:ascii="Arial" w:hAnsi="Arial" w:cs="Arial"/>
          <w:color w:val="auto"/>
          <w:sz w:val="24"/>
          <w:szCs w:val="24"/>
        </w:rPr>
        <w:t>will</w:t>
      </w:r>
      <w:r w:rsidR="00617CDF">
        <w:rPr>
          <w:rFonts w:ascii="Arial" w:hAnsi="Arial" w:cs="Arial"/>
          <w:color w:val="auto"/>
          <w:sz w:val="24"/>
          <w:szCs w:val="24"/>
        </w:rPr>
        <w:t xml:space="preserve"> the</w:t>
      </w:r>
      <w:r w:rsidR="00B508A2">
        <w:rPr>
          <w:rFonts w:ascii="Arial" w:hAnsi="Arial" w:cs="Arial"/>
          <w:color w:val="auto"/>
          <w:sz w:val="24"/>
          <w:szCs w:val="24"/>
        </w:rPr>
        <w:t>ir proximity</w:t>
      </w:r>
      <w:r w:rsidR="00617CDF">
        <w:rPr>
          <w:rFonts w:ascii="Arial" w:hAnsi="Arial" w:cs="Arial"/>
          <w:color w:val="auto"/>
          <w:sz w:val="24"/>
          <w:szCs w:val="24"/>
        </w:rPr>
        <w:t xml:space="preserve"> exacerbate </w:t>
      </w:r>
      <w:r w:rsidR="00FA5C03">
        <w:rPr>
          <w:rFonts w:ascii="Arial" w:hAnsi="Arial" w:cs="Arial"/>
          <w:color w:val="auto"/>
          <w:sz w:val="24"/>
          <w:szCs w:val="24"/>
        </w:rPr>
        <w:t>a</w:t>
      </w:r>
      <w:r w:rsidR="00617CDF">
        <w:rPr>
          <w:rFonts w:ascii="Arial" w:hAnsi="Arial" w:cs="Arial"/>
          <w:color w:val="auto"/>
          <w:sz w:val="24"/>
          <w:szCs w:val="24"/>
        </w:rPr>
        <w:t xml:space="preserve"> disaster, but </w:t>
      </w:r>
      <w:r w:rsidR="00FA5C03">
        <w:rPr>
          <w:rFonts w:ascii="Arial" w:hAnsi="Arial" w:cs="Arial"/>
          <w:color w:val="auto"/>
          <w:sz w:val="24"/>
          <w:szCs w:val="24"/>
        </w:rPr>
        <w:t xml:space="preserve">they will </w:t>
      </w:r>
      <w:r w:rsidR="00B508A2">
        <w:rPr>
          <w:rFonts w:ascii="Arial" w:hAnsi="Arial" w:cs="Arial"/>
          <w:color w:val="auto"/>
          <w:sz w:val="24"/>
          <w:szCs w:val="24"/>
        </w:rPr>
        <w:t xml:space="preserve">collectively </w:t>
      </w:r>
      <w:r w:rsidR="00FA5C03">
        <w:rPr>
          <w:rFonts w:ascii="Arial" w:hAnsi="Arial" w:cs="Arial"/>
          <w:color w:val="auto"/>
          <w:sz w:val="24"/>
          <w:szCs w:val="24"/>
        </w:rPr>
        <w:t>handicap</w:t>
      </w:r>
      <w:r w:rsidR="00617CDF">
        <w:rPr>
          <w:rFonts w:ascii="Arial" w:hAnsi="Arial" w:cs="Arial"/>
          <w:color w:val="auto"/>
          <w:sz w:val="24"/>
          <w:szCs w:val="24"/>
        </w:rPr>
        <w:t xml:space="preserve"> our recovery efforts. </w:t>
      </w:r>
      <w:r w:rsidR="008A354E">
        <w:rPr>
          <w:rFonts w:ascii="Arial" w:hAnsi="Arial" w:cs="Arial"/>
          <w:color w:val="auto"/>
          <w:sz w:val="24"/>
          <w:szCs w:val="24"/>
        </w:rPr>
        <w:t>Thos</w:t>
      </w:r>
      <w:r>
        <w:rPr>
          <w:rFonts w:ascii="Arial" w:hAnsi="Arial" w:cs="Arial"/>
          <w:color w:val="auto"/>
          <w:sz w:val="24"/>
          <w:szCs w:val="24"/>
        </w:rPr>
        <w:t xml:space="preserve">e </w:t>
      </w:r>
      <w:r w:rsidR="006342A3">
        <w:rPr>
          <w:rFonts w:ascii="Arial" w:hAnsi="Arial" w:cs="Arial"/>
          <w:color w:val="auto"/>
          <w:sz w:val="24"/>
          <w:szCs w:val="24"/>
        </w:rPr>
        <w:t>knowledgeable about</w:t>
      </w:r>
      <w:r>
        <w:rPr>
          <w:rFonts w:ascii="Arial" w:hAnsi="Arial" w:cs="Arial"/>
          <w:color w:val="auto"/>
          <w:sz w:val="24"/>
          <w:szCs w:val="24"/>
        </w:rPr>
        <w:t xml:space="preserve"> </w:t>
      </w:r>
      <w:r w:rsidR="00617CDF">
        <w:rPr>
          <w:rFonts w:ascii="Arial" w:hAnsi="Arial" w:cs="Arial"/>
          <w:color w:val="auto"/>
          <w:sz w:val="24"/>
          <w:szCs w:val="24"/>
        </w:rPr>
        <w:t xml:space="preserve">the world’s </w:t>
      </w:r>
      <w:r>
        <w:rPr>
          <w:rFonts w:ascii="Arial" w:hAnsi="Arial" w:cs="Arial"/>
          <w:color w:val="auto"/>
          <w:sz w:val="24"/>
          <w:szCs w:val="24"/>
        </w:rPr>
        <w:t>sei</w:t>
      </w:r>
      <w:r w:rsidR="006342A3">
        <w:rPr>
          <w:rFonts w:ascii="Arial" w:hAnsi="Arial" w:cs="Arial"/>
          <w:color w:val="auto"/>
          <w:sz w:val="24"/>
          <w:szCs w:val="24"/>
        </w:rPr>
        <w:t>s</w:t>
      </w:r>
      <w:r>
        <w:rPr>
          <w:rFonts w:ascii="Arial" w:hAnsi="Arial" w:cs="Arial"/>
          <w:color w:val="auto"/>
          <w:sz w:val="24"/>
          <w:szCs w:val="24"/>
        </w:rPr>
        <w:t>mic events</w:t>
      </w:r>
      <w:r w:rsidR="00617CDF">
        <w:rPr>
          <w:rFonts w:ascii="Arial" w:hAnsi="Arial" w:cs="Arial"/>
          <w:color w:val="auto"/>
          <w:sz w:val="24"/>
          <w:szCs w:val="24"/>
        </w:rPr>
        <w:t>,</w:t>
      </w:r>
      <w:r>
        <w:rPr>
          <w:rFonts w:ascii="Arial" w:hAnsi="Arial" w:cs="Arial"/>
          <w:color w:val="auto"/>
          <w:sz w:val="24"/>
          <w:szCs w:val="24"/>
        </w:rPr>
        <w:t xml:space="preserve"> </w:t>
      </w:r>
      <w:r w:rsidR="006342A3">
        <w:rPr>
          <w:rFonts w:ascii="Arial" w:hAnsi="Arial" w:cs="Arial"/>
          <w:color w:val="auto"/>
          <w:sz w:val="24"/>
          <w:szCs w:val="24"/>
        </w:rPr>
        <w:t xml:space="preserve">such as Scott Burns, </w:t>
      </w:r>
      <w:r w:rsidR="008A354E">
        <w:rPr>
          <w:rFonts w:ascii="Arial" w:hAnsi="Arial" w:cs="Arial"/>
          <w:color w:val="auto"/>
          <w:sz w:val="24"/>
          <w:szCs w:val="24"/>
        </w:rPr>
        <w:t xml:space="preserve">report </w:t>
      </w:r>
      <w:r>
        <w:rPr>
          <w:rFonts w:ascii="Arial" w:hAnsi="Arial" w:cs="Arial"/>
          <w:color w:val="auto"/>
          <w:sz w:val="24"/>
          <w:szCs w:val="24"/>
        </w:rPr>
        <w:t xml:space="preserve">the </w:t>
      </w:r>
      <w:r w:rsidR="008A354E">
        <w:rPr>
          <w:rFonts w:ascii="Arial" w:hAnsi="Arial" w:cs="Arial"/>
          <w:color w:val="auto"/>
          <w:sz w:val="24"/>
          <w:szCs w:val="24"/>
        </w:rPr>
        <w:t xml:space="preserve">recovery </w:t>
      </w:r>
      <w:r>
        <w:rPr>
          <w:rFonts w:ascii="Arial" w:hAnsi="Arial" w:cs="Arial"/>
          <w:color w:val="auto"/>
          <w:sz w:val="24"/>
          <w:szCs w:val="24"/>
        </w:rPr>
        <w:t>effort</w:t>
      </w:r>
      <w:r w:rsidR="008A354E">
        <w:rPr>
          <w:rFonts w:ascii="Arial" w:hAnsi="Arial" w:cs="Arial"/>
          <w:color w:val="auto"/>
          <w:sz w:val="24"/>
          <w:szCs w:val="24"/>
        </w:rPr>
        <w:t>s</w:t>
      </w:r>
      <w:r>
        <w:rPr>
          <w:rFonts w:ascii="Arial" w:hAnsi="Arial" w:cs="Arial"/>
          <w:color w:val="auto"/>
          <w:sz w:val="24"/>
          <w:szCs w:val="24"/>
        </w:rPr>
        <w:t xml:space="preserve"> following a</w:t>
      </w:r>
      <w:r w:rsidR="006342A3">
        <w:rPr>
          <w:rFonts w:ascii="Arial" w:hAnsi="Arial" w:cs="Arial"/>
          <w:color w:val="auto"/>
          <w:sz w:val="24"/>
          <w:szCs w:val="24"/>
        </w:rPr>
        <w:t xml:space="preserve"> major seismic</w:t>
      </w:r>
      <w:r>
        <w:rPr>
          <w:rFonts w:ascii="Arial" w:hAnsi="Arial" w:cs="Arial"/>
          <w:color w:val="auto"/>
          <w:sz w:val="24"/>
          <w:szCs w:val="24"/>
        </w:rPr>
        <w:t xml:space="preserve"> event </w:t>
      </w:r>
      <w:r w:rsidR="008A354E">
        <w:rPr>
          <w:rFonts w:ascii="Arial" w:hAnsi="Arial" w:cs="Arial"/>
          <w:color w:val="auto"/>
          <w:sz w:val="24"/>
          <w:szCs w:val="24"/>
        </w:rPr>
        <w:t xml:space="preserve">are </w:t>
      </w:r>
      <w:r w:rsidR="00A14282">
        <w:rPr>
          <w:rFonts w:ascii="Arial" w:hAnsi="Arial" w:cs="Arial"/>
          <w:color w:val="auto"/>
          <w:sz w:val="24"/>
          <w:szCs w:val="24"/>
        </w:rPr>
        <w:t xml:space="preserve">daunting and we must do </w:t>
      </w:r>
      <w:r w:rsidR="006342A3">
        <w:rPr>
          <w:rFonts w:ascii="Arial" w:hAnsi="Arial" w:cs="Arial"/>
          <w:color w:val="auto"/>
          <w:sz w:val="24"/>
          <w:szCs w:val="24"/>
        </w:rPr>
        <w:t>all that</w:t>
      </w:r>
      <w:r w:rsidR="00A14282">
        <w:rPr>
          <w:rFonts w:ascii="Arial" w:hAnsi="Arial" w:cs="Arial"/>
          <w:color w:val="auto"/>
          <w:sz w:val="24"/>
          <w:szCs w:val="24"/>
        </w:rPr>
        <w:t xml:space="preserve"> we can to minimize the risk and maximize </w:t>
      </w:r>
      <w:r w:rsidR="008A354E">
        <w:rPr>
          <w:rFonts w:ascii="Arial" w:hAnsi="Arial" w:cs="Arial"/>
          <w:color w:val="auto"/>
          <w:sz w:val="24"/>
          <w:szCs w:val="24"/>
        </w:rPr>
        <w:t>our</w:t>
      </w:r>
      <w:r w:rsidR="00A14282">
        <w:rPr>
          <w:rFonts w:ascii="Arial" w:hAnsi="Arial" w:cs="Arial"/>
          <w:color w:val="auto"/>
          <w:sz w:val="24"/>
          <w:szCs w:val="24"/>
        </w:rPr>
        <w:t xml:space="preserve"> recovery potential. </w:t>
      </w:r>
    </w:p>
    <w:p w:rsidR="00BF67BE" w:rsidRDefault="00A7406B" w:rsidP="00DB54C0">
      <w:pPr>
        <w:pStyle w:val="Body"/>
        <w:ind w:right="1350"/>
        <w:rPr>
          <w:rFonts w:ascii="Arial" w:hAnsi="Arial" w:cs="Arial"/>
          <w:color w:val="auto"/>
          <w:sz w:val="24"/>
          <w:szCs w:val="24"/>
        </w:rPr>
      </w:pPr>
      <w:r>
        <w:rPr>
          <w:rFonts w:ascii="Arial" w:hAnsi="Arial" w:cs="Arial"/>
          <w:color w:val="auto"/>
          <w:sz w:val="24"/>
          <w:szCs w:val="24"/>
        </w:rPr>
        <w:lastRenderedPageBreak/>
        <w:t xml:space="preserve">We acknowledge </w:t>
      </w:r>
      <w:r w:rsidR="00BF67BE">
        <w:rPr>
          <w:rFonts w:ascii="Arial" w:hAnsi="Arial" w:cs="Arial"/>
          <w:color w:val="auto"/>
          <w:sz w:val="24"/>
          <w:szCs w:val="24"/>
        </w:rPr>
        <w:t xml:space="preserve">the following </w:t>
      </w:r>
      <w:r w:rsidR="00FA5C03">
        <w:rPr>
          <w:rFonts w:ascii="Arial" w:hAnsi="Arial" w:cs="Arial"/>
          <w:color w:val="auto"/>
          <w:sz w:val="24"/>
          <w:szCs w:val="24"/>
        </w:rPr>
        <w:t>effort</w:t>
      </w:r>
      <w:r w:rsidR="00BF67BE">
        <w:rPr>
          <w:rFonts w:ascii="Arial" w:hAnsi="Arial" w:cs="Arial"/>
          <w:color w:val="auto"/>
          <w:sz w:val="24"/>
          <w:szCs w:val="24"/>
        </w:rPr>
        <w:t>s:</w:t>
      </w:r>
    </w:p>
    <w:p w:rsidR="00BF67BE" w:rsidRDefault="00BF67BE" w:rsidP="00DB54C0">
      <w:pPr>
        <w:pStyle w:val="Body"/>
        <w:ind w:right="1350"/>
        <w:rPr>
          <w:rFonts w:ascii="Arial" w:hAnsi="Arial" w:cs="Arial"/>
          <w:color w:val="auto"/>
          <w:sz w:val="24"/>
          <w:szCs w:val="24"/>
        </w:rPr>
      </w:pPr>
    </w:p>
    <w:p w:rsidR="001276E8" w:rsidRDefault="00BF67BE" w:rsidP="00DB54C0">
      <w:pPr>
        <w:pStyle w:val="Body"/>
        <w:ind w:right="1350"/>
        <w:rPr>
          <w:rFonts w:ascii="Arial" w:hAnsi="Arial" w:cs="Arial"/>
          <w:color w:val="auto"/>
          <w:sz w:val="24"/>
          <w:szCs w:val="24"/>
        </w:rPr>
      </w:pPr>
      <w:bookmarkStart w:id="0" w:name="_GoBack"/>
      <w:bookmarkEnd w:id="0"/>
      <w:r>
        <w:rPr>
          <w:rFonts w:ascii="Arial" w:hAnsi="Arial" w:cs="Arial"/>
          <w:color w:val="auto"/>
          <w:sz w:val="24"/>
          <w:szCs w:val="24"/>
        </w:rPr>
        <w:t xml:space="preserve">The </w:t>
      </w:r>
      <w:r w:rsidR="00A7406B">
        <w:rPr>
          <w:rFonts w:ascii="Arial" w:hAnsi="Arial" w:cs="Arial"/>
          <w:color w:val="auto"/>
          <w:sz w:val="24"/>
          <w:szCs w:val="24"/>
        </w:rPr>
        <w:t>City Club of Portland recommend</w:t>
      </w:r>
      <w:r>
        <w:rPr>
          <w:rFonts w:ascii="Arial" w:hAnsi="Arial" w:cs="Arial"/>
          <w:color w:val="auto"/>
          <w:sz w:val="24"/>
          <w:szCs w:val="24"/>
        </w:rPr>
        <w:t>s</w:t>
      </w:r>
      <w:r w:rsidR="00A7406B">
        <w:rPr>
          <w:rFonts w:ascii="Arial" w:hAnsi="Arial" w:cs="Arial"/>
          <w:color w:val="auto"/>
          <w:sz w:val="24"/>
          <w:szCs w:val="24"/>
        </w:rPr>
        <w:t xml:space="preserve"> the following to reduce the r</w:t>
      </w:r>
      <w:r>
        <w:rPr>
          <w:rFonts w:ascii="Arial" w:hAnsi="Arial" w:cs="Arial"/>
          <w:color w:val="auto"/>
          <w:sz w:val="24"/>
          <w:szCs w:val="24"/>
        </w:rPr>
        <w:t xml:space="preserve">isk of </w:t>
      </w:r>
      <w:r w:rsidR="00A7406B">
        <w:rPr>
          <w:rFonts w:ascii="Arial" w:hAnsi="Arial" w:cs="Arial"/>
          <w:color w:val="auto"/>
          <w:sz w:val="24"/>
          <w:szCs w:val="24"/>
        </w:rPr>
        <w:t>catastrophic CEI Hub Failure:</w:t>
      </w:r>
    </w:p>
    <w:p w:rsidR="00A7406B" w:rsidRDefault="00A7406B" w:rsidP="00A7406B">
      <w:pPr>
        <w:pStyle w:val="Body"/>
        <w:numPr>
          <w:ilvl w:val="0"/>
          <w:numId w:val="6"/>
        </w:numPr>
        <w:ind w:right="1350"/>
        <w:rPr>
          <w:rFonts w:ascii="Arial" w:hAnsi="Arial" w:cs="Arial"/>
          <w:color w:val="auto"/>
          <w:sz w:val="24"/>
          <w:szCs w:val="24"/>
        </w:rPr>
      </w:pPr>
      <w:r>
        <w:rPr>
          <w:rFonts w:ascii="Arial" w:hAnsi="Arial" w:cs="Arial"/>
          <w:color w:val="auto"/>
          <w:sz w:val="24"/>
          <w:szCs w:val="24"/>
        </w:rPr>
        <w:t>Oregon’s DOGAMI should commission a geotechnical study of soils of the CEI Hub and alternatives for soil hardening.  If grant funding is available, the Legislature should appropriate funds for the study.</w:t>
      </w:r>
    </w:p>
    <w:p w:rsidR="00A7406B" w:rsidRPr="00592CDF" w:rsidRDefault="00A7406B" w:rsidP="00A740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35" w:lineRule="atLeast"/>
        <w:ind w:left="720" w:hanging="360"/>
        <w:rPr>
          <w:rFonts w:ascii="Arial" w:eastAsia="Times New Roman" w:hAnsi="Arial" w:cs="Arial"/>
          <w:color w:val="000000"/>
          <w:bdr w:val="none" w:sz="0" w:space="0" w:color="auto"/>
        </w:rPr>
      </w:pPr>
      <w:r>
        <w:rPr>
          <w:rFonts w:ascii="Arial" w:hAnsi="Arial" w:cs="Arial"/>
        </w:rPr>
        <w:t xml:space="preserve">2. </w:t>
      </w:r>
      <w:r>
        <w:rPr>
          <w:rFonts w:eastAsia="Times New Roman"/>
          <w:color w:val="000000"/>
          <w:bdr w:val="none" w:sz="0" w:space="0" w:color="auto"/>
        </w:rPr>
        <w:tab/>
      </w:r>
      <w:r w:rsidRPr="00592CDF">
        <w:rPr>
          <w:rFonts w:ascii="Arial" w:eastAsia="Times New Roman" w:hAnsi="Arial" w:cs="Arial"/>
          <w:color w:val="000000"/>
          <w:bdr w:val="none" w:sz="0" w:space="0" w:color="auto"/>
        </w:rPr>
        <w:t>The Governor and Legislature should designate a single state agency to oversee seismic risks at the CEI Hub. That agency should have the authority to:</w:t>
      </w:r>
    </w:p>
    <w:p w:rsidR="00A7406B" w:rsidRPr="00A7406B" w:rsidRDefault="00A7406B" w:rsidP="00A740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35" w:lineRule="atLeast"/>
        <w:ind w:left="1080"/>
        <w:rPr>
          <w:rFonts w:ascii="Arial" w:eastAsia="Times New Roman" w:hAnsi="Arial" w:cs="Arial"/>
          <w:color w:val="000000"/>
          <w:bdr w:val="none" w:sz="0" w:space="0" w:color="auto"/>
        </w:rPr>
      </w:pPr>
      <w:r w:rsidRPr="00A7406B">
        <w:rPr>
          <w:rFonts w:ascii="Arial" w:eastAsia="Times New Roman" w:hAnsi="Arial" w:cs="Arial"/>
          <w:color w:val="000000"/>
          <w:bdr w:val="none" w:sz="0" w:space="0" w:color="auto"/>
        </w:rPr>
        <w:t>Require all owners of CEI Hub facilities to provide an engineering assessment of their facilities’ vulnerability to a CSZ earthquake and other information relevant to mitigating the current risks.</w:t>
      </w:r>
    </w:p>
    <w:p w:rsidR="00A7406B" w:rsidRDefault="00A7406B" w:rsidP="00A740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35" w:lineRule="atLeast"/>
        <w:ind w:left="1080"/>
        <w:rPr>
          <w:rFonts w:ascii="Arial" w:eastAsia="Times New Roman" w:hAnsi="Arial" w:cs="Arial"/>
          <w:color w:val="000000"/>
          <w:bdr w:val="none" w:sz="0" w:space="0" w:color="auto"/>
        </w:rPr>
      </w:pPr>
      <w:r w:rsidRPr="00A7406B">
        <w:rPr>
          <w:rFonts w:ascii="Arial" w:eastAsia="Times New Roman" w:hAnsi="Arial" w:cs="Arial"/>
          <w:color w:val="000000"/>
          <w:bdr w:val="none" w:sz="0" w:space="0" w:color="auto"/>
        </w:rPr>
        <w:t>Develop and implement, in collaboration with industry stakeholders, standards for construction and retrofit of storage tanks at the CEI Hub. The standards should be designed to prevent releases and to preserve substantial functionality in the event of a CSZ earthquake.</w:t>
      </w:r>
    </w:p>
    <w:p w:rsidR="00BF67BE" w:rsidRDefault="00BF67BE" w:rsidP="00BF67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35" w:lineRule="atLeast"/>
        <w:rPr>
          <w:rFonts w:ascii="Arial" w:eastAsia="Times New Roman" w:hAnsi="Arial" w:cs="Arial"/>
          <w:color w:val="000000"/>
          <w:bdr w:val="none" w:sz="0" w:space="0" w:color="auto"/>
        </w:rPr>
      </w:pPr>
      <w:r>
        <w:rPr>
          <w:rFonts w:ascii="Arial" w:eastAsia="Times New Roman" w:hAnsi="Arial" w:cs="Arial"/>
          <w:color w:val="000000"/>
          <w:bdr w:val="none" w:sz="0" w:space="0" w:color="auto"/>
        </w:rPr>
        <w:t>The Oregon Seismic Sa</w:t>
      </w:r>
      <w:r w:rsidR="00FA5C03">
        <w:rPr>
          <w:rFonts w:ascii="Arial" w:eastAsia="Times New Roman" w:hAnsi="Arial" w:cs="Arial"/>
          <w:color w:val="000000"/>
          <w:bdr w:val="none" w:sz="0" w:space="0" w:color="auto"/>
        </w:rPr>
        <w:t>fety Policy Advisory Committee ha</w:t>
      </w:r>
      <w:r>
        <w:rPr>
          <w:rFonts w:ascii="Arial" w:eastAsia="Times New Roman" w:hAnsi="Arial" w:cs="Arial"/>
          <w:color w:val="000000"/>
          <w:bdr w:val="none" w:sz="0" w:space="0" w:color="auto"/>
        </w:rPr>
        <w:t xml:space="preserve">s </w:t>
      </w:r>
      <w:r w:rsidR="00FA5C03">
        <w:rPr>
          <w:rFonts w:ascii="Arial" w:eastAsia="Times New Roman" w:hAnsi="Arial" w:cs="Arial"/>
          <w:color w:val="000000"/>
          <w:bdr w:val="none" w:sz="0" w:space="0" w:color="auto"/>
        </w:rPr>
        <w:t xml:space="preserve">been </w:t>
      </w:r>
      <w:r>
        <w:rPr>
          <w:rFonts w:ascii="Arial" w:eastAsia="Times New Roman" w:hAnsi="Arial" w:cs="Arial"/>
          <w:color w:val="000000"/>
          <w:bdr w:val="none" w:sz="0" w:space="0" w:color="auto"/>
        </w:rPr>
        <w:t xml:space="preserve">formally tasked to conduct a 15-month study of the CEI Hub with a report to be submitted to the Office of the State Resilience Officer by December 31, 2019.  The report will be provided to the House and Senate Veteran and Emergency Preparedness Committees with recommendations for the 2020 legislative short session </w:t>
      </w:r>
      <w:r w:rsidR="00FA5C03">
        <w:rPr>
          <w:rFonts w:ascii="Arial" w:eastAsia="Times New Roman" w:hAnsi="Arial" w:cs="Arial"/>
          <w:color w:val="000000"/>
          <w:bdr w:val="none" w:sz="0" w:space="0" w:color="auto"/>
        </w:rPr>
        <w:t>which will focus</w:t>
      </w:r>
      <w:r>
        <w:rPr>
          <w:rFonts w:ascii="Arial" w:eastAsia="Times New Roman" w:hAnsi="Arial" w:cs="Arial"/>
          <w:color w:val="000000"/>
          <w:bdr w:val="none" w:sz="0" w:space="0" w:color="auto"/>
        </w:rPr>
        <w:t xml:space="preserve"> on:</w:t>
      </w:r>
    </w:p>
    <w:p w:rsidR="00A7406B" w:rsidRDefault="00BF67BE" w:rsidP="00BF67BE">
      <w:pPr>
        <w:pStyle w:val="Body"/>
        <w:numPr>
          <w:ilvl w:val="0"/>
          <w:numId w:val="9"/>
        </w:numPr>
        <w:ind w:right="1350"/>
        <w:rPr>
          <w:rFonts w:ascii="Arial" w:hAnsi="Arial" w:cs="Arial"/>
          <w:color w:val="auto"/>
          <w:sz w:val="24"/>
          <w:szCs w:val="24"/>
        </w:rPr>
      </w:pPr>
      <w:r>
        <w:rPr>
          <w:rFonts w:ascii="Arial" w:hAnsi="Arial" w:cs="Arial"/>
          <w:color w:val="auto"/>
          <w:sz w:val="24"/>
          <w:szCs w:val="24"/>
        </w:rPr>
        <w:t>Conduct</w:t>
      </w:r>
      <w:r w:rsidR="00FA5C03">
        <w:rPr>
          <w:rFonts w:ascii="Arial" w:hAnsi="Arial" w:cs="Arial"/>
          <w:color w:val="auto"/>
          <w:sz w:val="24"/>
          <w:szCs w:val="24"/>
        </w:rPr>
        <w:t>ing</w:t>
      </w:r>
      <w:r>
        <w:rPr>
          <w:rFonts w:ascii="Arial" w:hAnsi="Arial" w:cs="Arial"/>
          <w:color w:val="auto"/>
          <w:sz w:val="24"/>
          <w:szCs w:val="24"/>
        </w:rPr>
        <w:t xml:space="preserve"> an analysis of state and federal guidance on the regulatory authority for seismic upgrades to both structures (tanks, terminals) and pipelines, to include land mitigation.</w:t>
      </w:r>
    </w:p>
    <w:p w:rsidR="00BF67BE" w:rsidRDefault="00BF67BE" w:rsidP="00BF67BE">
      <w:pPr>
        <w:pStyle w:val="Body"/>
        <w:numPr>
          <w:ilvl w:val="0"/>
          <w:numId w:val="9"/>
        </w:numPr>
        <w:ind w:right="1350"/>
        <w:rPr>
          <w:rFonts w:ascii="Arial" w:hAnsi="Arial" w:cs="Arial"/>
          <w:color w:val="auto"/>
          <w:sz w:val="24"/>
          <w:szCs w:val="24"/>
        </w:rPr>
      </w:pPr>
      <w:r>
        <w:rPr>
          <w:rFonts w:ascii="Arial" w:hAnsi="Arial" w:cs="Arial"/>
          <w:color w:val="auto"/>
          <w:sz w:val="24"/>
          <w:szCs w:val="24"/>
        </w:rPr>
        <w:t>Working in conjunction with Oregon Solutions, determine incentives from a public-private view that focuses on hardening current infrastructure.</w:t>
      </w:r>
    </w:p>
    <w:p w:rsidR="00BF67BE" w:rsidRDefault="00FA5C03" w:rsidP="00BF67BE">
      <w:pPr>
        <w:pStyle w:val="Body"/>
        <w:numPr>
          <w:ilvl w:val="0"/>
          <w:numId w:val="9"/>
        </w:numPr>
        <w:ind w:right="1350"/>
        <w:rPr>
          <w:rFonts w:ascii="Arial" w:hAnsi="Arial" w:cs="Arial"/>
          <w:color w:val="auto"/>
          <w:sz w:val="24"/>
          <w:szCs w:val="24"/>
        </w:rPr>
      </w:pPr>
      <w:r>
        <w:rPr>
          <w:rFonts w:ascii="Arial" w:hAnsi="Arial" w:cs="Arial"/>
          <w:color w:val="auto"/>
          <w:sz w:val="24"/>
          <w:szCs w:val="24"/>
        </w:rPr>
        <w:t>Showcasing</w:t>
      </w:r>
      <w:r w:rsidR="00BF67BE">
        <w:rPr>
          <w:rFonts w:ascii="Arial" w:hAnsi="Arial" w:cs="Arial"/>
          <w:color w:val="auto"/>
          <w:sz w:val="24"/>
          <w:szCs w:val="24"/>
        </w:rPr>
        <w:t xml:space="preserve"> the Earthquake Early Warning (</w:t>
      </w:r>
      <w:proofErr w:type="spellStart"/>
      <w:r w:rsidR="00BF67BE">
        <w:rPr>
          <w:rFonts w:ascii="Arial" w:hAnsi="Arial" w:cs="Arial"/>
          <w:color w:val="auto"/>
          <w:sz w:val="24"/>
          <w:szCs w:val="24"/>
        </w:rPr>
        <w:t>ShakeAlert</w:t>
      </w:r>
      <w:proofErr w:type="spellEnd"/>
      <w:r w:rsidR="00BF67BE">
        <w:rPr>
          <w:rFonts w:ascii="Arial" w:hAnsi="Arial" w:cs="Arial"/>
          <w:color w:val="auto"/>
          <w:sz w:val="24"/>
          <w:szCs w:val="24"/>
        </w:rPr>
        <w:t>) system to encourage seismic awareness within the private sector.</w:t>
      </w:r>
    </w:p>
    <w:p w:rsidR="00BF67BE" w:rsidRDefault="00FA5C03" w:rsidP="00BF67BE">
      <w:pPr>
        <w:pStyle w:val="Body"/>
        <w:numPr>
          <w:ilvl w:val="0"/>
          <w:numId w:val="9"/>
        </w:numPr>
        <w:ind w:right="1350"/>
        <w:rPr>
          <w:rFonts w:ascii="Arial" w:hAnsi="Arial" w:cs="Arial"/>
          <w:color w:val="auto"/>
          <w:sz w:val="24"/>
          <w:szCs w:val="24"/>
        </w:rPr>
      </w:pPr>
      <w:r>
        <w:rPr>
          <w:rFonts w:ascii="Arial" w:hAnsi="Arial" w:cs="Arial"/>
          <w:color w:val="auto"/>
          <w:sz w:val="24"/>
          <w:szCs w:val="24"/>
        </w:rPr>
        <w:t>Determining</w:t>
      </w:r>
      <w:r w:rsidR="00BF67BE">
        <w:rPr>
          <w:rFonts w:ascii="Arial" w:hAnsi="Arial" w:cs="Arial"/>
          <w:color w:val="auto"/>
          <w:sz w:val="24"/>
          <w:szCs w:val="24"/>
        </w:rPr>
        <w:t xml:space="preserve"> if a current state agency has statutory authority to develop long-term mitigation efforts.  If not, recommend which state agency would be best suited for this new authority.</w:t>
      </w:r>
    </w:p>
    <w:p w:rsidR="006342A3" w:rsidRDefault="006342A3" w:rsidP="00DB54C0">
      <w:pPr>
        <w:pStyle w:val="Body"/>
        <w:ind w:right="1350"/>
        <w:rPr>
          <w:rFonts w:ascii="Arial" w:hAnsi="Arial" w:cs="Arial"/>
          <w:color w:val="auto"/>
          <w:sz w:val="24"/>
          <w:szCs w:val="24"/>
        </w:rPr>
      </w:pPr>
    </w:p>
    <w:p w:rsidR="00617CDF" w:rsidRDefault="00BF67BE" w:rsidP="00DB54C0">
      <w:pPr>
        <w:pStyle w:val="Body"/>
        <w:ind w:right="1350"/>
        <w:rPr>
          <w:rFonts w:ascii="Arial" w:hAnsi="Arial" w:cs="Arial"/>
          <w:color w:val="auto"/>
          <w:sz w:val="24"/>
          <w:szCs w:val="24"/>
        </w:rPr>
      </w:pPr>
      <w:r>
        <w:rPr>
          <w:rFonts w:ascii="Arial" w:hAnsi="Arial" w:cs="Arial"/>
          <w:color w:val="auto"/>
          <w:sz w:val="24"/>
          <w:szCs w:val="24"/>
        </w:rPr>
        <w:t>SB 850, Community Resilience Report, will be released in September 2018.</w:t>
      </w:r>
    </w:p>
    <w:p w:rsidR="002C21BF" w:rsidRPr="002C21BF" w:rsidRDefault="002C21BF" w:rsidP="00DB54C0">
      <w:pPr>
        <w:pStyle w:val="Body"/>
        <w:ind w:right="1350"/>
        <w:rPr>
          <w:rFonts w:ascii="Arial" w:hAnsi="Arial" w:cs="Arial"/>
          <w:color w:val="auto"/>
          <w:sz w:val="24"/>
          <w:szCs w:val="24"/>
          <w:u w:val="single"/>
        </w:rPr>
      </w:pPr>
      <w:r w:rsidRPr="002C21BF">
        <w:rPr>
          <w:rFonts w:ascii="Arial" w:hAnsi="Arial" w:cs="Arial"/>
          <w:color w:val="auto"/>
          <w:sz w:val="24"/>
          <w:szCs w:val="24"/>
          <w:u w:val="single"/>
        </w:rPr>
        <w:t>https://gov.oregonlive.com/bill/2017/SB850/</w:t>
      </w:r>
    </w:p>
    <w:p w:rsidR="00FA5C03" w:rsidRDefault="00FA5C03" w:rsidP="00DB54C0">
      <w:pPr>
        <w:pStyle w:val="Body"/>
        <w:ind w:right="1350"/>
        <w:rPr>
          <w:rFonts w:ascii="Arial" w:hAnsi="Arial" w:cs="Arial"/>
          <w:color w:val="auto"/>
          <w:sz w:val="24"/>
          <w:szCs w:val="24"/>
        </w:rPr>
      </w:pPr>
    </w:p>
    <w:p w:rsidR="006342A3" w:rsidRDefault="00B508A2" w:rsidP="00DB54C0">
      <w:pPr>
        <w:pStyle w:val="Body"/>
        <w:ind w:right="1350"/>
        <w:rPr>
          <w:rFonts w:ascii="Arial" w:hAnsi="Arial" w:cs="Arial"/>
          <w:color w:val="auto"/>
          <w:sz w:val="24"/>
          <w:szCs w:val="24"/>
          <w:u w:val="single"/>
        </w:rPr>
      </w:pPr>
      <w:r>
        <w:rPr>
          <w:rFonts w:ascii="Arial" w:hAnsi="Arial" w:cs="Arial"/>
          <w:color w:val="auto"/>
          <w:sz w:val="24"/>
          <w:szCs w:val="24"/>
        </w:rPr>
        <w:t xml:space="preserve">The above </w:t>
      </w:r>
      <w:r w:rsidR="001419B4">
        <w:rPr>
          <w:rFonts w:ascii="Arial" w:hAnsi="Arial" w:cs="Arial"/>
          <w:color w:val="auto"/>
          <w:sz w:val="24"/>
          <w:szCs w:val="24"/>
        </w:rPr>
        <w:t xml:space="preserve">efforts </w:t>
      </w:r>
      <w:r>
        <w:rPr>
          <w:rFonts w:ascii="Arial" w:hAnsi="Arial" w:cs="Arial"/>
          <w:color w:val="auto"/>
          <w:sz w:val="24"/>
          <w:szCs w:val="24"/>
        </w:rPr>
        <w:t>promise</w:t>
      </w:r>
      <w:r w:rsidR="00F962CC">
        <w:rPr>
          <w:rFonts w:ascii="Arial" w:hAnsi="Arial" w:cs="Arial"/>
          <w:color w:val="auto"/>
          <w:sz w:val="24"/>
          <w:szCs w:val="24"/>
        </w:rPr>
        <w:t xml:space="preserve"> to be lengthy and costly process</w:t>
      </w:r>
      <w:r>
        <w:rPr>
          <w:rFonts w:ascii="Arial" w:hAnsi="Arial" w:cs="Arial"/>
          <w:color w:val="auto"/>
          <w:sz w:val="24"/>
          <w:szCs w:val="24"/>
        </w:rPr>
        <w:t>es</w:t>
      </w:r>
      <w:r w:rsidR="00F962CC">
        <w:rPr>
          <w:rFonts w:ascii="Arial" w:hAnsi="Arial" w:cs="Arial"/>
          <w:color w:val="auto"/>
          <w:sz w:val="24"/>
          <w:szCs w:val="24"/>
        </w:rPr>
        <w:t xml:space="preserve"> with </w:t>
      </w:r>
      <w:r>
        <w:rPr>
          <w:rFonts w:ascii="Arial" w:hAnsi="Arial" w:cs="Arial"/>
          <w:color w:val="auto"/>
          <w:sz w:val="24"/>
          <w:szCs w:val="24"/>
        </w:rPr>
        <w:t>unknown</w:t>
      </w:r>
      <w:r w:rsidR="00F962CC">
        <w:rPr>
          <w:rFonts w:ascii="Arial" w:hAnsi="Arial" w:cs="Arial"/>
          <w:color w:val="auto"/>
          <w:sz w:val="24"/>
          <w:szCs w:val="24"/>
        </w:rPr>
        <w:t xml:space="preserve"> success. </w:t>
      </w:r>
      <w:r w:rsidR="008A354E">
        <w:rPr>
          <w:rFonts w:ascii="Arial" w:hAnsi="Arial" w:cs="Arial"/>
          <w:color w:val="auto"/>
          <w:sz w:val="24"/>
          <w:szCs w:val="24"/>
        </w:rPr>
        <w:t xml:space="preserve">We don’t need to make decisions about what is to be done; </w:t>
      </w:r>
      <w:r w:rsidR="00FA5C03">
        <w:rPr>
          <w:rFonts w:ascii="Arial" w:hAnsi="Arial" w:cs="Arial"/>
          <w:color w:val="auto"/>
          <w:sz w:val="24"/>
          <w:szCs w:val="24"/>
        </w:rPr>
        <w:t xml:space="preserve">the </w:t>
      </w:r>
      <w:r w:rsidR="008A354E">
        <w:rPr>
          <w:rFonts w:ascii="Arial" w:hAnsi="Arial" w:cs="Arial"/>
          <w:color w:val="auto"/>
          <w:sz w:val="24"/>
          <w:szCs w:val="24"/>
        </w:rPr>
        <w:t xml:space="preserve">experts have already done that:  </w:t>
      </w:r>
      <w:r w:rsidR="001276E8">
        <w:rPr>
          <w:rFonts w:ascii="Arial" w:hAnsi="Arial" w:cs="Arial"/>
          <w:color w:val="auto"/>
          <w:sz w:val="24"/>
          <w:szCs w:val="24"/>
        </w:rPr>
        <w:t xml:space="preserve"> </w:t>
      </w:r>
      <w:r w:rsidR="006342A3" w:rsidRPr="008A354E">
        <w:rPr>
          <w:rFonts w:ascii="Arial" w:hAnsi="Arial" w:cs="Arial"/>
          <w:color w:val="auto"/>
          <w:sz w:val="24"/>
          <w:szCs w:val="24"/>
          <w:u w:val="single"/>
        </w:rPr>
        <w:t xml:space="preserve">The CEI Hub must be decentralized and relocated to </w:t>
      </w:r>
      <w:r w:rsidR="008A354E">
        <w:rPr>
          <w:rFonts w:ascii="Arial" w:hAnsi="Arial" w:cs="Arial"/>
          <w:color w:val="auto"/>
          <w:sz w:val="24"/>
          <w:szCs w:val="24"/>
          <w:u w:val="single"/>
        </w:rPr>
        <w:t xml:space="preserve">stable bedrock </w:t>
      </w:r>
      <w:r w:rsidR="006342A3" w:rsidRPr="008A354E">
        <w:rPr>
          <w:rFonts w:ascii="Arial" w:hAnsi="Arial" w:cs="Arial"/>
          <w:color w:val="auto"/>
          <w:sz w:val="24"/>
          <w:szCs w:val="24"/>
          <w:u w:val="single"/>
        </w:rPr>
        <w:t>areas.</w:t>
      </w:r>
    </w:p>
    <w:p w:rsidR="002B4080" w:rsidRPr="002B4080" w:rsidRDefault="001A4288" w:rsidP="00DB54C0">
      <w:pPr>
        <w:pStyle w:val="Body"/>
        <w:ind w:right="1350"/>
        <w:rPr>
          <w:rFonts w:ascii="Arial" w:hAnsi="Arial" w:cs="Arial"/>
          <w:color w:val="auto"/>
          <w:sz w:val="24"/>
          <w:szCs w:val="24"/>
        </w:rPr>
      </w:pPr>
      <w:r>
        <w:rPr>
          <w:rFonts w:ascii="Arial" w:hAnsi="Arial" w:cs="Arial"/>
          <w:color w:val="auto"/>
          <w:sz w:val="24"/>
          <w:szCs w:val="24"/>
        </w:rPr>
        <w:t xml:space="preserve"> </w:t>
      </w:r>
    </w:p>
    <w:p w:rsidR="00617CDF" w:rsidRDefault="00617CDF" w:rsidP="00DB54C0">
      <w:pPr>
        <w:pStyle w:val="Body"/>
        <w:ind w:right="1350"/>
        <w:rPr>
          <w:rFonts w:ascii="Arial" w:hAnsi="Arial" w:cs="Arial"/>
          <w:color w:val="auto"/>
          <w:sz w:val="24"/>
          <w:szCs w:val="24"/>
          <w:u w:val="single"/>
        </w:rPr>
      </w:pPr>
    </w:p>
    <w:p w:rsidR="00617CDF" w:rsidRDefault="00617CDF" w:rsidP="00DB54C0">
      <w:pPr>
        <w:pStyle w:val="Body"/>
        <w:ind w:right="1350"/>
        <w:rPr>
          <w:rFonts w:ascii="Arial" w:hAnsi="Arial" w:cs="Arial"/>
          <w:color w:val="auto"/>
          <w:sz w:val="24"/>
          <w:szCs w:val="24"/>
          <w:u w:val="single"/>
        </w:rPr>
      </w:pPr>
    </w:p>
    <w:p w:rsidR="00FA5C03" w:rsidRDefault="00FA5C03" w:rsidP="00DB54C0">
      <w:pPr>
        <w:pStyle w:val="Body"/>
        <w:ind w:right="1350"/>
        <w:rPr>
          <w:rFonts w:ascii="Arial" w:hAnsi="Arial" w:cs="Arial"/>
          <w:b/>
          <w:color w:val="auto"/>
          <w:sz w:val="24"/>
          <w:szCs w:val="24"/>
        </w:rPr>
      </w:pPr>
    </w:p>
    <w:p w:rsidR="00B508A2" w:rsidRDefault="00B508A2" w:rsidP="00DB54C0">
      <w:pPr>
        <w:pStyle w:val="Body"/>
        <w:ind w:right="1350"/>
        <w:rPr>
          <w:rFonts w:ascii="Arial" w:hAnsi="Arial" w:cs="Arial"/>
          <w:b/>
          <w:color w:val="auto"/>
          <w:sz w:val="24"/>
          <w:szCs w:val="24"/>
        </w:rPr>
      </w:pPr>
    </w:p>
    <w:sectPr w:rsidR="00B508A2" w:rsidSect="003B7035">
      <w:headerReference w:type="default" r:id="rId8"/>
      <w:footerReference w:type="default" r:id="rId9"/>
      <w:pgSz w:w="12240" w:h="15840"/>
      <w:pgMar w:top="1440" w:right="1080" w:bottom="1440" w:left="108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CB" w:rsidRDefault="000210CB">
      <w:r>
        <w:separator/>
      </w:r>
    </w:p>
  </w:endnote>
  <w:endnote w:type="continuationSeparator" w:id="0">
    <w:p w:rsidR="000210CB" w:rsidRDefault="0002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EA" w:rsidRDefault="00FB40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CB" w:rsidRDefault="000210CB">
      <w:r>
        <w:separator/>
      </w:r>
    </w:p>
  </w:footnote>
  <w:footnote w:type="continuationSeparator" w:id="0">
    <w:p w:rsidR="000210CB" w:rsidRDefault="00021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EA" w:rsidRDefault="00FB40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33D6"/>
    <w:multiLevelType w:val="multilevel"/>
    <w:tmpl w:val="BD34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514F6E"/>
    <w:multiLevelType w:val="multilevel"/>
    <w:tmpl w:val="EB94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25517A"/>
    <w:multiLevelType w:val="hybridMultilevel"/>
    <w:tmpl w:val="FC9A4C9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38567485"/>
    <w:multiLevelType w:val="hybridMultilevel"/>
    <w:tmpl w:val="0B8659BC"/>
    <w:lvl w:ilvl="0" w:tplc="0409000F">
      <w:start w:val="1"/>
      <w:numFmt w:val="decimal"/>
      <w:lvlText w:val="%1."/>
      <w:lvlJc w:val="left"/>
      <w:pPr>
        <w:ind w:left="720" w:hanging="360"/>
      </w:pPr>
      <w:rPr>
        <w:rFonts w:hint="default"/>
      </w:rPr>
    </w:lvl>
    <w:lvl w:ilvl="1" w:tplc="D3A8699E">
      <w:numFmt w:val="bullet"/>
      <w:lvlText w:val="·"/>
      <w:lvlJc w:val="left"/>
      <w:pPr>
        <w:ind w:left="1755" w:hanging="67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652D3"/>
    <w:multiLevelType w:val="hybridMultilevel"/>
    <w:tmpl w:val="6D3AB0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C4D6FC0"/>
    <w:multiLevelType w:val="hybridMultilevel"/>
    <w:tmpl w:val="E2487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9CE0B44"/>
    <w:multiLevelType w:val="hybridMultilevel"/>
    <w:tmpl w:val="6A98B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AA39E2"/>
    <w:multiLevelType w:val="multilevel"/>
    <w:tmpl w:val="8D74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A271B3"/>
    <w:multiLevelType w:val="multilevel"/>
    <w:tmpl w:val="7A3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8"/>
  </w:num>
  <w:num w:numId="4">
    <w:abstractNumId w:val="1"/>
  </w:num>
  <w:num w:numId="5">
    <w:abstractNumId w:val="5"/>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40EA"/>
    <w:rsid w:val="000210CB"/>
    <w:rsid w:val="00110D86"/>
    <w:rsid w:val="001276E8"/>
    <w:rsid w:val="001305C3"/>
    <w:rsid w:val="001419B4"/>
    <w:rsid w:val="001A4288"/>
    <w:rsid w:val="002B4080"/>
    <w:rsid w:val="002C21BF"/>
    <w:rsid w:val="003B7035"/>
    <w:rsid w:val="003D06F9"/>
    <w:rsid w:val="003E465A"/>
    <w:rsid w:val="00592CDF"/>
    <w:rsid w:val="005F4A96"/>
    <w:rsid w:val="00617CDF"/>
    <w:rsid w:val="006342A3"/>
    <w:rsid w:val="008221E1"/>
    <w:rsid w:val="00834383"/>
    <w:rsid w:val="00855BD1"/>
    <w:rsid w:val="00890BAE"/>
    <w:rsid w:val="008A354E"/>
    <w:rsid w:val="008C2DE2"/>
    <w:rsid w:val="008C484D"/>
    <w:rsid w:val="0099026A"/>
    <w:rsid w:val="009C28C2"/>
    <w:rsid w:val="00A14282"/>
    <w:rsid w:val="00A2393C"/>
    <w:rsid w:val="00A7406B"/>
    <w:rsid w:val="00B16E9E"/>
    <w:rsid w:val="00B508A2"/>
    <w:rsid w:val="00B60B58"/>
    <w:rsid w:val="00B6156D"/>
    <w:rsid w:val="00BF67BE"/>
    <w:rsid w:val="00C023CC"/>
    <w:rsid w:val="00C73DCD"/>
    <w:rsid w:val="00CA4AB7"/>
    <w:rsid w:val="00D01B14"/>
    <w:rsid w:val="00D33470"/>
    <w:rsid w:val="00D536D5"/>
    <w:rsid w:val="00DB54C0"/>
    <w:rsid w:val="00E34E8D"/>
    <w:rsid w:val="00E464C6"/>
    <w:rsid w:val="00F2206B"/>
    <w:rsid w:val="00F962CC"/>
    <w:rsid w:val="00FA5C03"/>
    <w:rsid w:val="00FB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ox-457b971e9d-msonormal">
    <w:name w:val="ox-457b971e9d-msonormal"/>
    <w:basedOn w:val="Normal"/>
    <w:rsid w:val="00592C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ox-457b971e9d-gmail-msolistparagraph">
    <w:name w:val="ox-457b971e9d-gmail-msolistparagraph"/>
    <w:basedOn w:val="Normal"/>
    <w:rsid w:val="00592C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592C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ox-6996eb715f-body">
    <w:name w:val="ox-6996eb715f-body"/>
    <w:basedOn w:val="Normal"/>
    <w:rsid w:val="00592C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A7406B"/>
    <w:pPr>
      <w:ind w:left="720"/>
      <w:contextualSpacing/>
    </w:pPr>
  </w:style>
  <w:style w:type="paragraph" w:styleId="BalloonText">
    <w:name w:val="Balloon Text"/>
    <w:basedOn w:val="Normal"/>
    <w:link w:val="BalloonTextChar"/>
    <w:uiPriority w:val="99"/>
    <w:semiHidden/>
    <w:unhideWhenUsed/>
    <w:rsid w:val="002B4080"/>
    <w:rPr>
      <w:rFonts w:ascii="Tahoma" w:hAnsi="Tahoma" w:cs="Tahoma"/>
      <w:sz w:val="16"/>
      <w:szCs w:val="16"/>
    </w:rPr>
  </w:style>
  <w:style w:type="character" w:customStyle="1" w:styleId="BalloonTextChar">
    <w:name w:val="Balloon Text Char"/>
    <w:basedOn w:val="DefaultParagraphFont"/>
    <w:link w:val="BalloonText"/>
    <w:uiPriority w:val="99"/>
    <w:semiHidden/>
    <w:rsid w:val="002B4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ox-457b971e9d-msonormal">
    <w:name w:val="ox-457b971e9d-msonormal"/>
    <w:basedOn w:val="Normal"/>
    <w:rsid w:val="00592C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ox-457b971e9d-gmail-msolistparagraph">
    <w:name w:val="ox-457b971e9d-gmail-msolistparagraph"/>
    <w:basedOn w:val="Normal"/>
    <w:rsid w:val="00592C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592C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ox-6996eb715f-body">
    <w:name w:val="ox-6996eb715f-body"/>
    <w:basedOn w:val="Normal"/>
    <w:rsid w:val="00592C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A7406B"/>
    <w:pPr>
      <w:ind w:left="720"/>
      <w:contextualSpacing/>
    </w:pPr>
  </w:style>
  <w:style w:type="paragraph" w:styleId="BalloonText">
    <w:name w:val="Balloon Text"/>
    <w:basedOn w:val="Normal"/>
    <w:link w:val="BalloonTextChar"/>
    <w:uiPriority w:val="99"/>
    <w:semiHidden/>
    <w:unhideWhenUsed/>
    <w:rsid w:val="002B4080"/>
    <w:rPr>
      <w:rFonts w:ascii="Tahoma" w:hAnsi="Tahoma" w:cs="Tahoma"/>
      <w:sz w:val="16"/>
      <w:szCs w:val="16"/>
    </w:rPr>
  </w:style>
  <w:style w:type="character" w:customStyle="1" w:styleId="BalloonTextChar">
    <w:name w:val="Balloon Text Char"/>
    <w:basedOn w:val="DefaultParagraphFont"/>
    <w:link w:val="BalloonText"/>
    <w:uiPriority w:val="99"/>
    <w:semiHidden/>
    <w:rsid w:val="002B4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3015">
      <w:bodyDiv w:val="1"/>
      <w:marLeft w:val="0"/>
      <w:marRight w:val="0"/>
      <w:marTop w:val="0"/>
      <w:marBottom w:val="0"/>
      <w:divBdr>
        <w:top w:val="none" w:sz="0" w:space="0" w:color="auto"/>
        <w:left w:val="none" w:sz="0" w:space="0" w:color="auto"/>
        <w:bottom w:val="none" w:sz="0" w:space="0" w:color="auto"/>
        <w:right w:val="none" w:sz="0" w:space="0" w:color="auto"/>
      </w:divBdr>
    </w:div>
    <w:div w:id="147720060">
      <w:bodyDiv w:val="1"/>
      <w:marLeft w:val="0"/>
      <w:marRight w:val="0"/>
      <w:marTop w:val="0"/>
      <w:marBottom w:val="0"/>
      <w:divBdr>
        <w:top w:val="none" w:sz="0" w:space="0" w:color="auto"/>
        <w:left w:val="none" w:sz="0" w:space="0" w:color="auto"/>
        <w:bottom w:val="none" w:sz="0" w:space="0" w:color="auto"/>
        <w:right w:val="none" w:sz="0" w:space="0" w:color="auto"/>
      </w:divBdr>
      <w:divsChild>
        <w:div w:id="379980184">
          <w:marLeft w:val="0"/>
          <w:marRight w:val="0"/>
          <w:marTop w:val="0"/>
          <w:marBottom w:val="0"/>
          <w:divBdr>
            <w:top w:val="none" w:sz="0" w:space="0" w:color="auto"/>
            <w:left w:val="none" w:sz="0" w:space="0" w:color="auto"/>
            <w:bottom w:val="none" w:sz="0" w:space="0" w:color="auto"/>
            <w:right w:val="none" w:sz="0" w:space="0" w:color="auto"/>
          </w:divBdr>
        </w:div>
        <w:div w:id="444234445">
          <w:marLeft w:val="0"/>
          <w:marRight w:val="0"/>
          <w:marTop w:val="0"/>
          <w:marBottom w:val="0"/>
          <w:divBdr>
            <w:top w:val="none" w:sz="0" w:space="0" w:color="auto"/>
            <w:left w:val="none" w:sz="0" w:space="0" w:color="auto"/>
            <w:bottom w:val="none" w:sz="0" w:space="0" w:color="auto"/>
            <w:right w:val="none" w:sz="0" w:space="0" w:color="auto"/>
          </w:divBdr>
        </w:div>
        <w:div w:id="1233466615">
          <w:marLeft w:val="0"/>
          <w:marRight w:val="0"/>
          <w:marTop w:val="0"/>
          <w:marBottom w:val="0"/>
          <w:divBdr>
            <w:top w:val="none" w:sz="0" w:space="0" w:color="auto"/>
            <w:left w:val="none" w:sz="0" w:space="0" w:color="auto"/>
            <w:bottom w:val="none" w:sz="0" w:space="0" w:color="auto"/>
            <w:right w:val="none" w:sz="0" w:space="0" w:color="auto"/>
          </w:divBdr>
        </w:div>
      </w:divsChild>
    </w:div>
    <w:div w:id="547759895">
      <w:bodyDiv w:val="1"/>
      <w:marLeft w:val="0"/>
      <w:marRight w:val="0"/>
      <w:marTop w:val="0"/>
      <w:marBottom w:val="0"/>
      <w:divBdr>
        <w:top w:val="none" w:sz="0" w:space="0" w:color="auto"/>
        <w:left w:val="none" w:sz="0" w:space="0" w:color="auto"/>
        <w:bottom w:val="none" w:sz="0" w:space="0" w:color="auto"/>
        <w:right w:val="none" w:sz="0" w:space="0" w:color="auto"/>
      </w:divBdr>
      <w:divsChild>
        <w:div w:id="325982639">
          <w:marLeft w:val="0"/>
          <w:marRight w:val="0"/>
          <w:marTop w:val="0"/>
          <w:marBottom w:val="0"/>
          <w:divBdr>
            <w:top w:val="none" w:sz="0" w:space="0" w:color="auto"/>
            <w:left w:val="none" w:sz="0" w:space="0" w:color="auto"/>
            <w:bottom w:val="none" w:sz="0" w:space="0" w:color="auto"/>
            <w:right w:val="none" w:sz="0" w:space="0" w:color="auto"/>
          </w:divBdr>
        </w:div>
        <w:div w:id="1285965309">
          <w:marLeft w:val="0"/>
          <w:marRight w:val="0"/>
          <w:marTop w:val="0"/>
          <w:marBottom w:val="0"/>
          <w:divBdr>
            <w:top w:val="none" w:sz="0" w:space="0" w:color="auto"/>
            <w:left w:val="none" w:sz="0" w:space="0" w:color="auto"/>
            <w:bottom w:val="none" w:sz="0" w:space="0" w:color="auto"/>
            <w:right w:val="none" w:sz="0" w:space="0" w:color="auto"/>
          </w:divBdr>
        </w:div>
        <w:div w:id="254561245">
          <w:marLeft w:val="0"/>
          <w:marRight w:val="0"/>
          <w:marTop w:val="0"/>
          <w:marBottom w:val="0"/>
          <w:divBdr>
            <w:top w:val="none" w:sz="0" w:space="0" w:color="auto"/>
            <w:left w:val="none" w:sz="0" w:space="0" w:color="auto"/>
            <w:bottom w:val="none" w:sz="0" w:space="0" w:color="auto"/>
            <w:right w:val="none" w:sz="0" w:space="0" w:color="auto"/>
          </w:divBdr>
        </w:div>
        <w:div w:id="1043409473">
          <w:marLeft w:val="0"/>
          <w:marRight w:val="0"/>
          <w:marTop w:val="0"/>
          <w:marBottom w:val="0"/>
          <w:divBdr>
            <w:top w:val="none" w:sz="0" w:space="0" w:color="auto"/>
            <w:left w:val="none" w:sz="0" w:space="0" w:color="auto"/>
            <w:bottom w:val="none" w:sz="0" w:space="0" w:color="auto"/>
            <w:right w:val="none" w:sz="0" w:space="0" w:color="auto"/>
          </w:divBdr>
          <w:divsChild>
            <w:div w:id="74667402">
              <w:marLeft w:val="0"/>
              <w:marRight w:val="0"/>
              <w:marTop w:val="0"/>
              <w:marBottom w:val="0"/>
              <w:divBdr>
                <w:top w:val="none" w:sz="0" w:space="0" w:color="auto"/>
                <w:left w:val="none" w:sz="0" w:space="0" w:color="auto"/>
                <w:bottom w:val="none" w:sz="0" w:space="0" w:color="auto"/>
                <w:right w:val="none" w:sz="0" w:space="0" w:color="auto"/>
              </w:divBdr>
            </w:div>
            <w:div w:id="832841153">
              <w:marLeft w:val="0"/>
              <w:marRight w:val="0"/>
              <w:marTop w:val="0"/>
              <w:marBottom w:val="0"/>
              <w:divBdr>
                <w:top w:val="none" w:sz="0" w:space="0" w:color="auto"/>
                <w:left w:val="none" w:sz="0" w:space="0" w:color="auto"/>
                <w:bottom w:val="none" w:sz="0" w:space="0" w:color="auto"/>
                <w:right w:val="none" w:sz="0" w:space="0" w:color="auto"/>
              </w:divBdr>
            </w:div>
            <w:div w:id="1962884477">
              <w:marLeft w:val="0"/>
              <w:marRight w:val="0"/>
              <w:marTop w:val="0"/>
              <w:marBottom w:val="0"/>
              <w:divBdr>
                <w:top w:val="none" w:sz="0" w:space="0" w:color="auto"/>
                <w:left w:val="none" w:sz="0" w:space="0" w:color="auto"/>
                <w:bottom w:val="none" w:sz="0" w:space="0" w:color="auto"/>
                <w:right w:val="none" w:sz="0" w:space="0" w:color="auto"/>
              </w:divBdr>
            </w:div>
            <w:div w:id="16539532">
              <w:marLeft w:val="0"/>
              <w:marRight w:val="0"/>
              <w:marTop w:val="0"/>
              <w:marBottom w:val="0"/>
              <w:divBdr>
                <w:top w:val="none" w:sz="0" w:space="0" w:color="auto"/>
                <w:left w:val="none" w:sz="0" w:space="0" w:color="auto"/>
                <w:bottom w:val="none" w:sz="0" w:space="0" w:color="auto"/>
                <w:right w:val="none" w:sz="0" w:space="0" w:color="auto"/>
              </w:divBdr>
            </w:div>
            <w:div w:id="1932467287">
              <w:marLeft w:val="0"/>
              <w:marRight w:val="0"/>
              <w:marTop w:val="0"/>
              <w:marBottom w:val="0"/>
              <w:divBdr>
                <w:top w:val="none" w:sz="0" w:space="0" w:color="auto"/>
                <w:left w:val="none" w:sz="0" w:space="0" w:color="auto"/>
                <w:bottom w:val="none" w:sz="0" w:space="0" w:color="auto"/>
                <w:right w:val="none" w:sz="0" w:space="0" w:color="auto"/>
              </w:divBdr>
            </w:div>
            <w:div w:id="1383358760">
              <w:marLeft w:val="0"/>
              <w:marRight w:val="0"/>
              <w:marTop w:val="0"/>
              <w:marBottom w:val="0"/>
              <w:divBdr>
                <w:top w:val="none" w:sz="0" w:space="0" w:color="auto"/>
                <w:left w:val="none" w:sz="0" w:space="0" w:color="auto"/>
                <w:bottom w:val="none" w:sz="0" w:space="0" w:color="auto"/>
                <w:right w:val="none" w:sz="0" w:space="0" w:color="auto"/>
              </w:divBdr>
            </w:div>
            <w:div w:id="1355887665">
              <w:marLeft w:val="0"/>
              <w:marRight w:val="0"/>
              <w:marTop w:val="0"/>
              <w:marBottom w:val="0"/>
              <w:divBdr>
                <w:top w:val="none" w:sz="0" w:space="0" w:color="auto"/>
                <w:left w:val="none" w:sz="0" w:space="0" w:color="auto"/>
                <w:bottom w:val="none" w:sz="0" w:space="0" w:color="auto"/>
                <w:right w:val="none" w:sz="0" w:space="0" w:color="auto"/>
              </w:divBdr>
            </w:div>
            <w:div w:id="1237010408">
              <w:marLeft w:val="0"/>
              <w:marRight w:val="0"/>
              <w:marTop w:val="0"/>
              <w:marBottom w:val="0"/>
              <w:divBdr>
                <w:top w:val="none" w:sz="0" w:space="0" w:color="auto"/>
                <w:left w:val="none" w:sz="0" w:space="0" w:color="auto"/>
                <w:bottom w:val="none" w:sz="0" w:space="0" w:color="auto"/>
                <w:right w:val="none" w:sz="0" w:space="0" w:color="auto"/>
              </w:divBdr>
            </w:div>
            <w:div w:id="1002970113">
              <w:marLeft w:val="0"/>
              <w:marRight w:val="0"/>
              <w:marTop w:val="0"/>
              <w:marBottom w:val="0"/>
              <w:divBdr>
                <w:top w:val="none" w:sz="0" w:space="0" w:color="auto"/>
                <w:left w:val="none" w:sz="0" w:space="0" w:color="auto"/>
                <w:bottom w:val="none" w:sz="0" w:space="0" w:color="auto"/>
                <w:right w:val="none" w:sz="0" w:space="0" w:color="auto"/>
              </w:divBdr>
            </w:div>
            <w:div w:id="76756298">
              <w:marLeft w:val="0"/>
              <w:marRight w:val="0"/>
              <w:marTop w:val="0"/>
              <w:marBottom w:val="0"/>
              <w:divBdr>
                <w:top w:val="none" w:sz="0" w:space="0" w:color="auto"/>
                <w:left w:val="none" w:sz="0" w:space="0" w:color="auto"/>
                <w:bottom w:val="none" w:sz="0" w:space="0" w:color="auto"/>
                <w:right w:val="none" w:sz="0" w:space="0" w:color="auto"/>
              </w:divBdr>
            </w:div>
            <w:div w:id="15991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Hiser</dc:creator>
  <cp:lastModifiedBy>Nancy Hiser</cp:lastModifiedBy>
  <cp:revision>19</cp:revision>
  <cp:lastPrinted>2018-11-20T22:10:00Z</cp:lastPrinted>
  <dcterms:created xsi:type="dcterms:W3CDTF">2018-08-13T20:52:00Z</dcterms:created>
  <dcterms:modified xsi:type="dcterms:W3CDTF">2019-01-30T15:22:00Z</dcterms:modified>
</cp:coreProperties>
</file>